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header7.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B2941" w:rsidRDefault="00EB2941" w:rsidP="002436C1">
      <w:pPr>
        <w:pStyle w:val="TableFigureCaption"/>
      </w:pPr>
    </w:p>
    <w:p w:rsidR="002A6B02" w:rsidRDefault="002A6B02"/>
    <w:p w:rsidR="002A6B02" w:rsidRDefault="002A6B02" w:rsidP="00AB380F">
      <w:pPr>
        <w:tabs>
          <w:tab w:val="left" w:pos="8550"/>
        </w:tabs>
      </w:pPr>
    </w:p>
    <w:p w:rsidR="002A6B02" w:rsidRDefault="002A6B02"/>
    <w:p w:rsidR="002A6B02" w:rsidRDefault="002A6B02" w:rsidP="00AB380F"/>
    <w:p w:rsidR="002A6B02" w:rsidRDefault="002A6B02"/>
    <w:p w:rsidR="002A6B02" w:rsidRDefault="002A6B02"/>
    <w:p w:rsidR="002A6B02" w:rsidRDefault="00614536">
      <w:r>
        <w:rPr>
          <w:noProof/>
        </w:rPr>
        <mc:AlternateContent>
          <mc:Choice Requires="wps">
            <w:drawing>
              <wp:anchor distT="0" distB="0" distL="114300" distR="114300" simplePos="0" relativeHeight="251679744" behindDoc="0" locked="0" layoutInCell="1" allowOverlap="1">
                <wp:simplePos x="0" y="0"/>
                <wp:positionH relativeFrom="column">
                  <wp:posOffset>-4663440</wp:posOffset>
                </wp:positionH>
                <wp:positionV relativeFrom="paragraph">
                  <wp:posOffset>189230</wp:posOffset>
                </wp:positionV>
                <wp:extent cx="699770" cy="33864550"/>
                <wp:effectExtent l="13335" t="12700" r="10795" b="12700"/>
                <wp:wrapNone/>
                <wp:docPr id="17"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9770" cy="33864550"/>
                        </a:xfrm>
                        <a:prstGeom prst="straightConnector1">
                          <a:avLst/>
                        </a:prstGeom>
                        <a:noFill/>
                        <a:ln w="12700">
                          <a:solidFill>
                            <a:schemeClr val="tx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4">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6" o:spid="_x0000_s1026" type="#_x0000_t32" style="position:absolute;margin-left:-367.2pt;margin-top:14.9pt;width:55.1pt;height:2666.5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Bf0gIAAA4GAAAOAAAAZHJzL2Uyb0RvYy54bWysVN9vmzAQfp+0/8HinQKBAEFNqpSQ7WE/&#10;KrXTnl3bBGtgI9sJqab97zubhDadNE1TeUD22ff5u7vv7vrm2LXowJTmUiy96Cr0EBNEUi52S+/b&#10;w9bPPaQNFhS3UrCl98S0d7N6/+566As2k41sKVMIQIQuhn7pNcb0RRBo0rAO6yvZMwGHtVQdNrBV&#10;u4AqPAB61wazMEyDQSraK0mY1mDdjIfeyuHXNSPma11rZlC79ICbcX/l/o/2H6yucbFTuG84OdHA&#10;/8Giw1zAoxPUBhuM9or/AdVxoqSWtbkisgtkXXPCXAwQTRS+iua+wT1zsUBydD+lSb8dLPlyuFOI&#10;U6hd5iGBO6jRem+kexrNUpugodcF3CvFnbIhkqO47z9J8kMjIcsGix1ztx+eenCOrEdw4WI3uodn&#10;HofPksIdDA+4bB1r1aG65f1H62jBISPo6MrzNJWHHQ0iYEwXiyyDIhI4iuM8TeZzV8AAFxbIuvdK&#10;mw9Mdsgulp42CvNdY0opBEhBqvERfPikjaX57GCdhdzytnWKaAUagNIsC0NHS8uWU3tq7zlxsrJV&#10;6IBBVuY4orb7DsIbbVFov1FdYAcNjvYz3wnCkbhAV3IvqCPRMEyr09pg3o5rIN0KS4M5eY+RwO5o&#10;YOnskC4nvZ+LcFHlVZ74ySyt/CTcbPz1tkz8dBtl8028KctN9MvGFyVFwyllwoZ4boMo+TeZnRpy&#10;FPDUCFMyg0t0FzCQvWS63s7DLIlzP8vmsZ/EVejf5tvSX5dRmmbVbXlbvWJauej125CdUmlZyb1h&#10;6r6hA6LcimiWxwuYYpTD2IjzMA0X0Cm43cG8I0Z5SEnznZvG9YDVrMWY6juWHRPChEnc0UuZzP+i&#10;Elzgtm/wCDBdhOpP2C6VE9sxsWdN2N1U1VOunlMPKGe9uFa13Tn2+aOkT3fq3MIwdJzTaUDaqfZy&#10;D+uXY3z1GwAA//8DAFBLAwQUAAYACAAAACEAlrPWaOYAAAANAQAADwAAAGRycy9kb3ducmV2Lnht&#10;bEyPy07DMBBF90j8gzVIbFDqxA2hDXGqFolFVYHUtB/gxm4S1Y8odtrA1zOsYDmao3vPLVaT0eSq&#10;Bt85yyGZxUCUrZ3sbMPheHiPFkB8EFYK7azi8KU8rMr7u0Lk0t3sXl2r0BAMsT4XHNoQ+pxSX7fK&#10;CD9zvbL4O7vBiIDn0FA5iBuGG01ZHGfUiM5iQyt69daq+lKNhkN6Gc+7env4/tTbarP5eEr26yTh&#10;/PFhWr8CCWoKfzD86qM6lOh0cqOVnmgO0cs8TZHlwJa4AYkoYykDcuLwPM/YAmhZ0P8ryh8AAAD/&#10;/wMAUEsBAi0AFAAGAAgAAAAhALaDOJL+AAAA4QEAABMAAAAAAAAAAAAAAAAAAAAAAFtDb250ZW50&#10;X1R5cGVzXS54bWxQSwECLQAUAAYACAAAACEAOP0h/9YAAACUAQAACwAAAAAAAAAAAAAAAAAvAQAA&#10;X3JlbHMvLnJlbHNQSwECLQAUAAYACAAAACEAvhCAX9ICAAAOBgAADgAAAAAAAAAAAAAAAAAuAgAA&#10;ZHJzL2Uyb0RvYy54bWxQSwECLQAUAAYACAAAACEAlrPWaOYAAAANAQAADwAAAAAAAAAAAAAAAAAs&#10;BQAAZHJzL2Rvd25yZXYueG1sUEsFBgAAAAAEAAQA8wAAAD8GAAAAAA==&#10;" strokecolor="black [3213]" strokeweight="1pt">
                <v:shadow color="#3f3151 [1607]" opacity=".5" offset="1pt"/>
              </v:shape>
            </w:pict>
          </mc:Fallback>
        </mc:AlternateContent>
      </w:r>
    </w:p>
    <w:p w:rsidR="002A6B02" w:rsidRDefault="002A6B02"/>
    <w:p w:rsidR="002A6B02" w:rsidRDefault="002A6B02"/>
    <w:p w:rsidR="002A6B02" w:rsidRDefault="002A6B02"/>
    <w:p w:rsidR="002A6B02" w:rsidRDefault="002A6B02"/>
    <w:p w:rsidR="002A6B02" w:rsidRDefault="002A6B02"/>
    <w:p w:rsidR="00CF7B44" w:rsidRDefault="00CF7B44"/>
    <w:p w:rsidR="002A6B02" w:rsidRDefault="002A6B02"/>
    <w:p w:rsidR="008B39F4" w:rsidRDefault="00BF594A" w:rsidP="00D53A09">
      <w:pPr>
        <w:pStyle w:val="ProposalTitle"/>
      </w:pPr>
      <w:r>
        <w:t xml:space="preserve">2013 </w:t>
      </w:r>
      <w:r w:rsidR="0083129A">
        <w:t xml:space="preserve">Load Impact Evaluation of the </w:t>
      </w:r>
      <w:r w:rsidR="0083129A" w:rsidRPr="0083129A">
        <w:t>California Statewide Permanent Load Shifting Program</w:t>
      </w:r>
    </w:p>
    <w:p w:rsidR="009967CB" w:rsidRPr="008B39F4" w:rsidRDefault="009967CB" w:rsidP="00D53A09">
      <w:pPr>
        <w:pStyle w:val="ProposalTitle"/>
      </w:pPr>
    </w:p>
    <w:p w:rsidR="008B39F4" w:rsidRDefault="00BF594A" w:rsidP="008B39F4">
      <w:pPr>
        <w:tabs>
          <w:tab w:val="left" w:pos="-1440"/>
          <w:tab w:val="left" w:pos="-720"/>
        </w:tabs>
        <w:spacing w:after="0" w:line="240" w:lineRule="atLeast"/>
        <w:ind w:right="-180"/>
        <w:jc w:val="right"/>
        <w:rPr>
          <w:rFonts w:ascii="Calibri" w:eastAsia="Times New Roman" w:hAnsi="Calibri" w:cs="Times New Roman"/>
          <w:bCs/>
          <w:sz w:val="23"/>
          <w:szCs w:val="23"/>
        </w:rPr>
      </w:pPr>
      <w:r>
        <w:rPr>
          <w:rFonts w:ascii="Calibri" w:eastAsia="Times New Roman" w:hAnsi="Calibri" w:cs="Times New Roman"/>
          <w:b/>
          <w:bCs/>
          <w:sz w:val="23"/>
          <w:szCs w:val="23"/>
        </w:rPr>
        <w:t>Submitted to:</w:t>
      </w:r>
      <w:r>
        <w:rPr>
          <w:rFonts w:ascii="Calibri" w:eastAsia="Times New Roman" w:hAnsi="Calibri" w:cs="Times New Roman"/>
          <w:b/>
          <w:bCs/>
          <w:sz w:val="23"/>
          <w:szCs w:val="23"/>
        </w:rPr>
        <w:br/>
      </w:r>
      <w:r w:rsidRPr="009967CB">
        <w:rPr>
          <w:rFonts w:ascii="Calibri" w:eastAsia="Times New Roman" w:hAnsi="Calibri" w:cs="Times New Roman"/>
          <w:bCs/>
          <w:sz w:val="23"/>
          <w:szCs w:val="23"/>
        </w:rPr>
        <w:t>San Diego Gas &amp; Electric</w:t>
      </w:r>
      <w:r w:rsidRPr="009967CB">
        <w:rPr>
          <w:rFonts w:ascii="Calibri" w:eastAsia="Times New Roman" w:hAnsi="Calibri" w:cs="Times New Roman"/>
          <w:bCs/>
          <w:sz w:val="23"/>
          <w:szCs w:val="23"/>
        </w:rPr>
        <w:br/>
        <w:t>Southern California Edison</w:t>
      </w:r>
      <w:r w:rsidRPr="009967CB">
        <w:rPr>
          <w:rFonts w:ascii="Calibri" w:eastAsia="Times New Roman" w:hAnsi="Calibri" w:cs="Times New Roman"/>
          <w:bCs/>
          <w:sz w:val="23"/>
          <w:szCs w:val="23"/>
        </w:rPr>
        <w:br/>
        <w:t>Pacific Gas &amp; Electric</w:t>
      </w:r>
    </w:p>
    <w:p w:rsidR="009967CB" w:rsidRPr="009967CB" w:rsidRDefault="009967CB" w:rsidP="008B39F4">
      <w:pPr>
        <w:tabs>
          <w:tab w:val="left" w:pos="-1440"/>
          <w:tab w:val="left" w:pos="-720"/>
        </w:tabs>
        <w:spacing w:after="0" w:line="240" w:lineRule="atLeast"/>
        <w:ind w:right="-180"/>
        <w:jc w:val="right"/>
        <w:rPr>
          <w:rFonts w:ascii="Calibri" w:eastAsia="Times New Roman" w:hAnsi="Calibri" w:cs="Times New Roman"/>
          <w:bCs/>
          <w:sz w:val="23"/>
          <w:szCs w:val="23"/>
        </w:rPr>
      </w:pPr>
    </w:p>
    <w:p w:rsidR="008B39F4" w:rsidRPr="008B39F4" w:rsidRDefault="008B39F4" w:rsidP="008B39F4">
      <w:pPr>
        <w:tabs>
          <w:tab w:val="left" w:pos="-1440"/>
          <w:tab w:val="left" w:pos="-720"/>
        </w:tabs>
        <w:spacing w:after="0" w:line="240" w:lineRule="atLeast"/>
        <w:ind w:right="-180"/>
        <w:jc w:val="right"/>
        <w:rPr>
          <w:rFonts w:ascii="Calibri" w:eastAsia="Times New Roman" w:hAnsi="Calibri" w:cs="Times New Roman"/>
          <w:b/>
          <w:bCs/>
          <w:sz w:val="23"/>
          <w:szCs w:val="23"/>
        </w:rPr>
      </w:pPr>
      <w:r w:rsidRPr="008B39F4">
        <w:rPr>
          <w:rFonts w:ascii="Calibri" w:eastAsia="Times New Roman" w:hAnsi="Calibri" w:cs="Times New Roman"/>
          <w:b/>
          <w:bCs/>
          <w:sz w:val="23"/>
          <w:szCs w:val="23"/>
        </w:rPr>
        <w:t>Submitted By</w:t>
      </w:r>
      <w:r w:rsidR="009967CB">
        <w:rPr>
          <w:rFonts w:ascii="Calibri" w:eastAsia="Times New Roman" w:hAnsi="Calibri" w:cs="Times New Roman"/>
          <w:b/>
          <w:bCs/>
          <w:sz w:val="23"/>
          <w:szCs w:val="23"/>
        </w:rPr>
        <w:t>:</w:t>
      </w:r>
      <w:r w:rsidRPr="008B39F4">
        <w:rPr>
          <w:rFonts w:ascii="Calibri" w:eastAsia="Times New Roman" w:hAnsi="Calibri" w:cs="Times New Roman"/>
          <w:b/>
          <w:bCs/>
          <w:sz w:val="23"/>
          <w:szCs w:val="23"/>
        </w:rPr>
        <w:t xml:space="preserve"> </w:t>
      </w:r>
      <w:r w:rsidRPr="009967CB">
        <w:rPr>
          <w:rFonts w:ascii="Calibri" w:eastAsia="Times New Roman" w:hAnsi="Calibri" w:cs="Times New Roman"/>
          <w:bCs/>
          <w:sz w:val="23"/>
          <w:szCs w:val="23"/>
        </w:rPr>
        <w:t>Nexant</w:t>
      </w:r>
      <w:r w:rsidRPr="008B39F4">
        <w:rPr>
          <w:rFonts w:ascii="Calibri" w:eastAsia="Times New Roman" w:hAnsi="Calibri" w:cs="Times New Roman"/>
          <w:b/>
          <w:bCs/>
          <w:sz w:val="23"/>
          <w:szCs w:val="23"/>
        </w:rPr>
        <w:t xml:space="preserve"> </w:t>
      </w:r>
    </w:p>
    <w:p w:rsidR="008B39F4" w:rsidRPr="008B39F4" w:rsidRDefault="0083129A" w:rsidP="008B39F4">
      <w:pPr>
        <w:tabs>
          <w:tab w:val="left" w:pos="-1440"/>
          <w:tab w:val="left" w:pos="-720"/>
        </w:tabs>
        <w:spacing w:after="0" w:line="240" w:lineRule="atLeast"/>
        <w:ind w:right="-180"/>
        <w:jc w:val="right"/>
        <w:rPr>
          <w:rFonts w:ascii="Calibri" w:eastAsia="Times New Roman" w:hAnsi="Calibri" w:cs="Times New Roman"/>
          <w:color w:val="221E1F"/>
          <w:sz w:val="23"/>
          <w:szCs w:val="23"/>
        </w:rPr>
      </w:pPr>
      <w:r>
        <w:rPr>
          <w:rFonts w:ascii="Calibri" w:eastAsia="Times New Roman" w:hAnsi="Calibri" w:cs="Times New Roman"/>
          <w:color w:val="221E1F"/>
          <w:sz w:val="23"/>
          <w:szCs w:val="23"/>
        </w:rPr>
        <w:t xml:space="preserve">March </w:t>
      </w:r>
      <w:r w:rsidR="006D5CA8">
        <w:rPr>
          <w:rFonts w:ascii="Calibri" w:eastAsia="Times New Roman" w:hAnsi="Calibri" w:cs="Times New Roman"/>
          <w:color w:val="221E1F"/>
          <w:sz w:val="23"/>
          <w:szCs w:val="23"/>
        </w:rPr>
        <w:t>1</w:t>
      </w:r>
      <w:r w:rsidR="00EA72EE">
        <w:rPr>
          <w:rFonts w:ascii="Calibri" w:eastAsia="Times New Roman" w:hAnsi="Calibri" w:cs="Times New Roman"/>
          <w:color w:val="221E1F"/>
          <w:sz w:val="23"/>
          <w:szCs w:val="23"/>
        </w:rPr>
        <w:t>8</w:t>
      </w:r>
      <w:r w:rsidR="00BF594A">
        <w:rPr>
          <w:rFonts w:ascii="Calibri" w:eastAsia="Times New Roman" w:hAnsi="Calibri" w:cs="Times New Roman"/>
          <w:color w:val="221E1F"/>
          <w:sz w:val="23"/>
          <w:szCs w:val="23"/>
        </w:rPr>
        <w:t>, 2014</w:t>
      </w:r>
      <w:r w:rsidR="006D5CA8">
        <w:rPr>
          <w:rFonts w:ascii="Calibri" w:eastAsia="Times New Roman" w:hAnsi="Calibri" w:cs="Times New Roman"/>
          <w:color w:val="221E1F"/>
          <w:sz w:val="23"/>
          <w:szCs w:val="23"/>
        </w:rPr>
        <w:t xml:space="preserve"> - DRAFT</w:t>
      </w:r>
    </w:p>
    <w:p w:rsidR="008B39F4" w:rsidRPr="008B39F4" w:rsidRDefault="008B39F4" w:rsidP="008B39F4">
      <w:pPr>
        <w:tabs>
          <w:tab w:val="left" w:pos="-1440"/>
          <w:tab w:val="left" w:pos="-720"/>
        </w:tabs>
        <w:spacing w:after="0" w:line="240" w:lineRule="atLeast"/>
        <w:rPr>
          <w:rFonts w:ascii="Times New Roman" w:eastAsia="Times New Roman" w:hAnsi="Times New Roman" w:cs="Times New Roman"/>
          <w:sz w:val="24"/>
          <w:szCs w:val="20"/>
        </w:rPr>
      </w:pPr>
    </w:p>
    <w:p w:rsidR="008B39F4" w:rsidRPr="008B39F4" w:rsidRDefault="008B39F4" w:rsidP="008B39F4">
      <w:pPr>
        <w:tabs>
          <w:tab w:val="left" w:pos="-1440"/>
          <w:tab w:val="left" w:pos="-720"/>
        </w:tabs>
        <w:spacing w:after="0" w:line="240" w:lineRule="atLeast"/>
        <w:rPr>
          <w:rFonts w:ascii="Calibri" w:eastAsia="Times New Roman" w:hAnsi="Calibri" w:cs="Calibri"/>
          <w:b/>
          <w:sz w:val="28"/>
          <w:szCs w:val="28"/>
        </w:rPr>
      </w:pPr>
    </w:p>
    <w:p w:rsidR="008B39F4" w:rsidRPr="008B39F4" w:rsidRDefault="008B39F4" w:rsidP="008B39F4">
      <w:pPr>
        <w:tabs>
          <w:tab w:val="left" w:pos="-1440"/>
          <w:tab w:val="left" w:pos="-720"/>
        </w:tabs>
        <w:spacing w:after="0" w:line="240" w:lineRule="atLeast"/>
        <w:rPr>
          <w:rFonts w:ascii="Calibri" w:eastAsia="Times New Roman" w:hAnsi="Calibri" w:cs="Calibri"/>
          <w:b/>
          <w:sz w:val="28"/>
          <w:szCs w:val="28"/>
        </w:rPr>
      </w:pPr>
      <w:r w:rsidRPr="008B39F4">
        <w:rPr>
          <w:rFonts w:ascii="Calibri" w:eastAsia="Times New Roman" w:hAnsi="Calibri" w:cs="Calibri"/>
          <w:b/>
          <w:sz w:val="28"/>
          <w:szCs w:val="28"/>
        </w:rPr>
        <w:t>Prepared by:</w:t>
      </w:r>
    </w:p>
    <w:p w:rsidR="0080103F" w:rsidRDefault="0080103F" w:rsidP="008B39F4">
      <w:pPr>
        <w:tabs>
          <w:tab w:val="left" w:pos="-1440"/>
          <w:tab w:val="left" w:pos="-720"/>
        </w:tabs>
        <w:spacing w:after="0" w:line="240" w:lineRule="atLeast"/>
        <w:rPr>
          <w:rFonts w:ascii="Calibri" w:eastAsia="Times New Roman" w:hAnsi="Calibri" w:cs="Calibri"/>
          <w:b/>
          <w:sz w:val="23"/>
          <w:szCs w:val="23"/>
        </w:rPr>
      </w:pPr>
      <w:r>
        <w:rPr>
          <w:rFonts w:ascii="Calibri" w:eastAsia="Times New Roman" w:hAnsi="Calibri" w:cs="Calibri"/>
          <w:b/>
          <w:sz w:val="23"/>
          <w:szCs w:val="23"/>
        </w:rPr>
        <w:t>Josh Schellenberg, Managing Consultant</w:t>
      </w:r>
    </w:p>
    <w:p w:rsidR="0084569F" w:rsidRDefault="00BF594A" w:rsidP="009967CB">
      <w:pPr>
        <w:tabs>
          <w:tab w:val="left" w:pos="-1440"/>
          <w:tab w:val="left" w:pos="-720"/>
        </w:tabs>
        <w:spacing w:after="0" w:line="240" w:lineRule="atLeast"/>
      </w:pPr>
      <w:r>
        <w:rPr>
          <w:rFonts w:ascii="Calibri" w:eastAsia="Times New Roman" w:hAnsi="Calibri" w:cs="Calibri"/>
          <w:b/>
          <w:sz w:val="23"/>
          <w:szCs w:val="23"/>
        </w:rPr>
        <w:t>Ankit Jain, Project Analyst II</w:t>
      </w:r>
      <w:r w:rsidR="00614536">
        <w:rPr>
          <w:rFonts w:ascii="Times New Roman" w:eastAsia="Times New Roman" w:hAnsi="Times New Roman" w:cs="Times New Roman"/>
          <w:noProof/>
          <w:sz w:val="24"/>
          <w:szCs w:val="20"/>
        </w:rPr>
        <mc:AlternateContent>
          <mc:Choice Requires="wps">
            <w:drawing>
              <wp:anchor distT="4294967295" distB="4294967295" distL="114300" distR="114300" simplePos="0" relativeHeight="251681792" behindDoc="0" locked="0" layoutInCell="1" allowOverlap="1" wp14:anchorId="6CF615FA" wp14:editId="37B60272">
                <wp:simplePos x="0" y="0"/>
                <wp:positionH relativeFrom="column">
                  <wp:posOffset>2480945</wp:posOffset>
                </wp:positionH>
                <wp:positionV relativeFrom="paragraph">
                  <wp:posOffset>3809999</wp:posOffset>
                </wp:positionV>
                <wp:extent cx="7772400" cy="0"/>
                <wp:effectExtent l="0" t="57150" r="0" b="57150"/>
                <wp:wrapNone/>
                <wp:docPr id="1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6" style="position:absolute;margin-left:195.35pt;margin-top:300pt;width:612pt;height:0;z-index:251681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qc7qQIAAKIFAAAOAAAAZHJzL2Uyb0RvYy54bWysVFFv0zAQfkfiP1h+z5IUt2mipdNoGoQ0&#10;YGLwA9zEaSwcO9hu04H475ydtmu3FwTkIbJ957vv7vt81zf7TqAd04YrmeP4KsKIyUrVXG5y/PVL&#10;GcwxMpbKmgolWY4fmcE3i9evroc+YxPVKlEzjSCINNnQ57i1ts/C0FQt66i5Uj2TYGyU7qiFrd6E&#10;taYDRO9EOImiWTgoXfdaVcwYOC1GI174+E3DKvupaQyzSOQYsFn/1/6/dv9wcU2zjaZ9y6sDDPoX&#10;KDrKJSQ9hSqopWir+YtQHa+0MqqxV5XqQtU0vGK+Bqgmjp5V89DSnvlaoDmmP7XJ/L+w1cfdvUa8&#10;Bu5mGEnaAUefoWtUbgRD8dQ1aOhNBn4P/b12JZr+TlXfDJJq2YIbu9VaDS2jNcCKnX94ccFtDFxF&#10;6+GDqiE83Vrle7VvdOcCQhfQ3lPyeKKE7S2q4DBJkgmJgLnqaAtpdrzYa2PfMdUht8ixBtw+MN3d&#10;GeuA0Ozo4vJIVXIhPONCXhyA43gCaeGqszkAnsCfaZSu5qs5CchktgpIVBTBbbkkwayMk2nxplgu&#10;i/iXyxuTrOV1zaRLcxRTTP6MrIOsRxmc5GSU4LUL5yAZvVkvhUY7CmIu/efbDZYnt/AShm8C1PKs&#10;pBia+naSBuVsngSkJNMgTaJ5EMXp23QWkZQU5WVJd1yyfy8JDTlOp5OpZ+kM9LPaIv+9rI1mHbcw&#10;LgTvcjw/OdHMqW8la0+tpVyM67NWOPhPrQC6j0R7rTp5jjJfq/oRpKoVyAlEB4MNFq3SPzAaYEjk&#10;2HzfUs0wEu8lyD2NCXFTxW/INJnARp9b1ucWKisIlWOL0bhc2nESbXvNNy1kin1jpLqFJ9JwL2H3&#10;fEZUh4cFg8BXchhabtKc773X02hd/AYAAP//AwBQSwMEFAAGAAgAAAAhABDoxIHfAAAADAEAAA8A&#10;AABkcnMvZG93bnJldi54bWxMj91Kw0AQhe8F32EZwRuxu1WJGrMpUhCLCMVUe73NjkkwO5tmt0l8&#10;e6cg6OWc+Tg/2WJyrRiwD40nDfOZAoFUettQpeF983R5ByJEQ9a0nlDDNwZY5KcnmUmtH+kNhyJW&#10;gk0opEZDHWOXShnKGp0JM98h8e/T985EPvtK2t6MbO5aeaVUIp1piBNq0+GyxvKrODgNY7ketpvX&#10;Z7m+2K487Vf7ZfHxovX52fT4ACLiFP9gONbn6pBzp50/kA2i1XB9r24Z1ZAoxaOORDK/YWn3K8k8&#10;k/9H5D8AAAD//wMAUEsBAi0AFAAGAAgAAAAhALaDOJL+AAAA4QEAABMAAAAAAAAAAAAAAAAAAAAA&#10;AFtDb250ZW50X1R5cGVzXS54bWxQSwECLQAUAAYACAAAACEAOP0h/9YAAACUAQAACwAAAAAAAAAA&#10;AAAAAAAvAQAAX3JlbHMvLnJlbHNQSwECLQAUAAYACAAAACEA9L6nO6kCAACiBQAADgAAAAAAAAAA&#10;AAAAAAAuAgAAZHJzL2Uyb0RvYy54bWxQSwECLQAUAAYACAAAACEAEOjEgd8AAAAMAQAADwAAAAAA&#10;AAAAAAAAAAADBQAAZHJzL2Rvd25yZXYueG1sUEsFBgAAAAAEAAQA8wAAAA8GAAAAAA==&#10;" filled="f" stroked="f"/>
            </w:pict>
          </mc:Fallback>
        </mc:AlternateContent>
      </w:r>
    </w:p>
    <w:p w:rsidR="002A6B02" w:rsidRDefault="002A6B02" w:rsidP="00305437">
      <w:pPr>
        <w:pStyle w:val="PreparedForCompany"/>
      </w:pPr>
    </w:p>
    <w:p w:rsidR="00AB380F" w:rsidRPr="00ED253C" w:rsidRDefault="00AB380F" w:rsidP="00AB380F">
      <w:pPr>
        <w:pStyle w:val="PreparedForCompany"/>
        <w:jc w:val="left"/>
      </w:pPr>
    </w:p>
    <w:p w:rsidR="002A6B02" w:rsidRDefault="002A6B02" w:rsidP="00AB380F">
      <w:pPr>
        <w:spacing w:before="240"/>
        <w:ind w:left="-990"/>
        <w:rPr>
          <w:b/>
          <w:color w:val="433B67"/>
          <w:sz w:val="28"/>
          <w:szCs w:val="28"/>
        </w:rPr>
        <w:sectPr w:rsidR="002A6B02" w:rsidSect="00A40B9A">
          <w:headerReference w:type="even" r:id="rId9"/>
          <w:headerReference w:type="default" r:id="rId10"/>
          <w:footerReference w:type="even" r:id="rId11"/>
          <w:footerReference w:type="default" r:id="rId12"/>
          <w:headerReference w:type="first" r:id="rId13"/>
          <w:footerReference w:type="first" r:id="rId14"/>
          <w:pgSz w:w="12240" w:h="15840"/>
          <w:pgMar w:top="1440" w:right="1800" w:bottom="1440" w:left="1800" w:header="720" w:footer="720" w:gutter="0"/>
          <w:pgNumType w:fmt="lowerRoman" w:start="1"/>
          <w:cols w:space="720"/>
          <w:titlePg/>
          <w:docGrid w:linePitch="360"/>
        </w:sectPr>
      </w:pPr>
    </w:p>
    <w:bookmarkStart w:id="0" w:name="_Toc268073344" w:displacedByCustomXml="next"/>
    <w:sdt>
      <w:sdtPr>
        <w:rPr>
          <w:rFonts w:eastAsiaTheme="minorHAnsi" w:cstheme="minorBidi"/>
          <w:b w:val="0"/>
          <w:color w:val="auto"/>
          <w:sz w:val="22"/>
          <w:szCs w:val="22"/>
        </w:rPr>
        <w:id w:val="1780305"/>
        <w:docPartObj>
          <w:docPartGallery w:val="Table of Contents"/>
          <w:docPartUnique/>
        </w:docPartObj>
      </w:sdtPr>
      <w:sdtEndPr>
        <w:rPr>
          <w:rFonts w:eastAsiaTheme="minorEastAsia"/>
        </w:rPr>
      </w:sdtEndPr>
      <w:sdtContent>
        <w:p w:rsidR="002F58AD" w:rsidRDefault="002F58AD" w:rsidP="002F58AD">
          <w:pPr>
            <w:pStyle w:val="TableofContents"/>
            <w:ind w:left="0"/>
          </w:pPr>
          <w:r w:rsidRPr="002F58AD">
            <w:rPr>
              <w:rFonts w:ascii="Arial Black" w:hAnsi="Arial Black"/>
            </w:rPr>
            <w:t>Table of Contents</w:t>
          </w:r>
        </w:p>
        <w:p w:rsidR="001779E9" w:rsidRDefault="00DE4B63">
          <w:pPr>
            <w:pStyle w:val="TOC1"/>
            <w:rPr>
              <w:sz w:val="22"/>
            </w:rPr>
          </w:pPr>
          <w:r>
            <w:rPr>
              <w:rFonts w:ascii="Verdana" w:hAnsi="Verdana"/>
              <w:sz w:val="18"/>
            </w:rPr>
            <w:fldChar w:fldCharType="begin"/>
          </w:r>
          <w:r w:rsidR="002F58AD">
            <w:instrText xml:space="preserve"> TOC \o "1-3" \h \z \t "Appendix Heading 1,2,Appendix Heading 2,3,Appendix Heading 3,4" </w:instrText>
          </w:r>
          <w:r>
            <w:rPr>
              <w:rFonts w:ascii="Verdana" w:hAnsi="Verdana"/>
              <w:sz w:val="18"/>
            </w:rPr>
            <w:fldChar w:fldCharType="separate"/>
          </w:r>
          <w:hyperlink w:anchor="_Toc382926498" w:history="1">
            <w:r w:rsidR="001779E9" w:rsidRPr="00BA0B98">
              <w:rPr>
                <w:rStyle w:val="Hyperlink"/>
              </w:rPr>
              <w:t>Abstract</w:t>
            </w:r>
            <w:r w:rsidR="001779E9">
              <w:rPr>
                <w:webHidden/>
              </w:rPr>
              <w:tab/>
            </w:r>
            <w:r w:rsidR="001779E9">
              <w:rPr>
                <w:webHidden/>
              </w:rPr>
              <w:tab/>
            </w:r>
            <w:r w:rsidR="001779E9">
              <w:rPr>
                <w:webHidden/>
              </w:rPr>
              <w:fldChar w:fldCharType="begin"/>
            </w:r>
            <w:r w:rsidR="001779E9">
              <w:rPr>
                <w:webHidden/>
              </w:rPr>
              <w:instrText xml:space="preserve"> PAGEREF _Toc382926498 \h </w:instrText>
            </w:r>
            <w:r w:rsidR="001779E9">
              <w:rPr>
                <w:webHidden/>
              </w:rPr>
            </w:r>
            <w:r w:rsidR="001779E9">
              <w:rPr>
                <w:webHidden/>
              </w:rPr>
              <w:fldChar w:fldCharType="separate"/>
            </w:r>
            <w:r w:rsidR="001779E9">
              <w:rPr>
                <w:webHidden/>
              </w:rPr>
              <w:t>2</w:t>
            </w:r>
            <w:r w:rsidR="001779E9">
              <w:rPr>
                <w:webHidden/>
              </w:rPr>
              <w:fldChar w:fldCharType="end"/>
            </w:r>
          </w:hyperlink>
        </w:p>
        <w:p w:rsidR="001779E9" w:rsidRDefault="00D90487">
          <w:pPr>
            <w:pStyle w:val="TOC1"/>
            <w:rPr>
              <w:sz w:val="22"/>
            </w:rPr>
          </w:pPr>
          <w:hyperlink w:anchor="_Toc382926499" w:history="1">
            <w:r w:rsidR="001779E9" w:rsidRPr="00BA0B98">
              <w:rPr>
                <w:rStyle w:val="Hyperlink"/>
              </w:rPr>
              <w:t>1</w:t>
            </w:r>
            <w:r w:rsidR="001779E9">
              <w:rPr>
                <w:sz w:val="22"/>
              </w:rPr>
              <w:tab/>
            </w:r>
            <w:r w:rsidR="001779E9" w:rsidRPr="00BA0B98">
              <w:rPr>
                <w:rStyle w:val="Hyperlink"/>
              </w:rPr>
              <w:t>Introduction</w:t>
            </w:r>
            <w:r w:rsidR="001779E9">
              <w:rPr>
                <w:webHidden/>
              </w:rPr>
              <w:tab/>
            </w:r>
            <w:r w:rsidR="001779E9">
              <w:rPr>
                <w:webHidden/>
              </w:rPr>
              <w:fldChar w:fldCharType="begin"/>
            </w:r>
            <w:r w:rsidR="001779E9">
              <w:rPr>
                <w:webHidden/>
              </w:rPr>
              <w:instrText xml:space="preserve"> PAGEREF _Toc382926499 \h </w:instrText>
            </w:r>
            <w:r w:rsidR="001779E9">
              <w:rPr>
                <w:webHidden/>
              </w:rPr>
            </w:r>
            <w:r w:rsidR="001779E9">
              <w:rPr>
                <w:webHidden/>
              </w:rPr>
              <w:fldChar w:fldCharType="separate"/>
            </w:r>
            <w:r w:rsidR="001779E9">
              <w:rPr>
                <w:webHidden/>
              </w:rPr>
              <w:t>3</w:t>
            </w:r>
            <w:r w:rsidR="001779E9">
              <w:rPr>
                <w:webHidden/>
              </w:rPr>
              <w:fldChar w:fldCharType="end"/>
            </w:r>
          </w:hyperlink>
        </w:p>
        <w:p w:rsidR="001779E9" w:rsidRDefault="00D90487">
          <w:pPr>
            <w:pStyle w:val="TOC2"/>
            <w:rPr>
              <w:sz w:val="22"/>
            </w:rPr>
          </w:pPr>
          <w:hyperlink w:anchor="_Toc382926500" w:history="1">
            <w:r w:rsidR="001779E9" w:rsidRPr="00BA0B98">
              <w:rPr>
                <w:rStyle w:val="Hyperlink"/>
              </w:rPr>
              <w:t>1.1</w:t>
            </w:r>
            <w:r w:rsidR="001779E9">
              <w:rPr>
                <w:sz w:val="22"/>
              </w:rPr>
              <w:tab/>
            </w:r>
            <w:r w:rsidR="001779E9" w:rsidRPr="00BA0B98">
              <w:rPr>
                <w:rStyle w:val="Hyperlink"/>
              </w:rPr>
              <w:t>Background</w:t>
            </w:r>
            <w:r w:rsidR="001779E9">
              <w:rPr>
                <w:webHidden/>
              </w:rPr>
              <w:tab/>
            </w:r>
            <w:r w:rsidR="001779E9">
              <w:rPr>
                <w:webHidden/>
              </w:rPr>
              <w:fldChar w:fldCharType="begin"/>
            </w:r>
            <w:r w:rsidR="001779E9">
              <w:rPr>
                <w:webHidden/>
              </w:rPr>
              <w:instrText xml:space="preserve"> PAGEREF _Toc382926500 \h </w:instrText>
            </w:r>
            <w:r w:rsidR="001779E9">
              <w:rPr>
                <w:webHidden/>
              </w:rPr>
            </w:r>
            <w:r w:rsidR="001779E9">
              <w:rPr>
                <w:webHidden/>
              </w:rPr>
              <w:fldChar w:fldCharType="separate"/>
            </w:r>
            <w:r w:rsidR="001779E9">
              <w:rPr>
                <w:webHidden/>
              </w:rPr>
              <w:t>3</w:t>
            </w:r>
            <w:r w:rsidR="001779E9">
              <w:rPr>
                <w:webHidden/>
              </w:rPr>
              <w:fldChar w:fldCharType="end"/>
            </w:r>
          </w:hyperlink>
        </w:p>
        <w:p w:rsidR="001779E9" w:rsidRDefault="00D90487">
          <w:pPr>
            <w:pStyle w:val="TOC2"/>
            <w:rPr>
              <w:sz w:val="22"/>
            </w:rPr>
          </w:pPr>
          <w:hyperlink w:anchor="_Toc382926501" w:history="1">
            <w:r w:rsidR="001779E9" w:rsidRPr="00BA0B98">
              <w:rPr>
                <w:rStyle w:val="Hyperlink"/>
              </w:rPr>
              <w:t>1.2</w:t>
            </w:r>
            <w:r w:rsidR="001779E9">
              <w:rPr>
                <w:sz w:val="22"/>
              </w:rPr>
              <w:tab/>
            </w:r>
            <w:r w:rsidR="001779E9" w:rsidRPr="00BA0B98">
              <w:rPr>
                <w:rStyle w:val="Hyperlink"/>
              </w:rPr>
              <w:t>Key Considerations for Program Year 2013 Load Impact Forecast</w:t>
            </w:r>
            <w:r w:rsidR="001779E9">
              <w:rPr>
                <w:webHidden/>
              </w:rPr>
              <w:tab/>
            </w:r>
            <w:r w:rsidR="001779E9">
              <w:rPr>
                <w:webHidden/>
              </w:rPr>
              <w:fldChar w:fldCharType="begin"/>
            </w:r>
            <w:r w:rsidR="001779E9">
              <w:rPr>
                <w:webHidden/>
              </w:rPr>
              <w:instrText xml:space="preserve"> PAGEREF _Toc382926501 \h </w:instrText>
            </w:r>
            <w:r w:rsidR="001779E9">
              <w:rPr>
                <w:webHidden/>
              </w:rPr>
            </w:r>
            <w:r w:rsidR="001779E9">
              <w:rPr>
                <w:webHidden/>
              </w:rPr>
              <w:fldChar w:fldCharType="separate"/>
            </w:r>
            <w:r w:rsidR="001779E9">
              <w:rPr>
                <w:webHidden/>
              </w:rPr>
              <w:t>4</w:t>
            </w:r>
            <w:r w:rsidR="001779E9">
              <w:rPr>
                <w:webHidden/>
              </w:rPr>
              <w:fldChar w:fldCharType="end"/>
            </w:r>
          </w:hyperlink>
        </w:p>
        <w:p w:rsidR="001779E9" w:rsidRDefault="00D90487">
          <w:pPr>
            <w:pStyle w:val="TOC2"/>
            <w:rPr>
              <w:sz w:val="22"/>
            </w:rPr>
          </w:pPr>
          <w:hyperlink w:anchor="_Toc382926502" w:history="1">
            <w:r w:rsidR="001779E9" w:rsidRPr="00BA0B98">
              <w:rPr>
                <w:rStyle w:val="Hyperlink"/>
              </w:rPr>
              <w:t>1.3</w:t>
            </w:r>
            <w:r w:rsidR="001779E9">
              <w:rPr>
                <w:sz w:val="22"/>
              </w:rPr>
              <w:tab/>
            </w:r>
            <w:r w:rsidR="001779E9" w:rsidRPr="00BA0B98">
              <w:rPr>
                <w:rStyle w:val="Hyperlink"/>
              </w:rPr>
              <w:t>Program Overview</w:t>
            </w:r>
            <w:r w:rsidR="001779E9">
              <w:rPr>
                <w:webHidden/>
              </w:rPr>
              <w:tab/>
            </w:r>
            <w:r w:rsidR="001779E9">
              <w:rPr>
                <w:webHidden/>
              </w:rPr>
              <w:fldChar w:fldCharType="begin"/>
            </w:r>
            <w:r w:rsidR="001779E9">
              <w:rPr>
                <w:webHidden/>
              </w:rPr>
              <w:instrText xml:space="preserve"> PAGEREF _Toc382926502 \h </w:instrText>
            </w:r>
            <w:r w:rsidR="001779E9">
              <w:rPr>
                <w:webHidden/>
              </w:rPr>
            </w:r>
            <w:r w:rsidR="001779E9">
              <w:rPr>
                <w:webHidden/>
              </w:rPr>
              <w:fldChar w:fldCharType="separate"/>
            </w:r>
            <w:r w:rsidR="001779E9">
              <w:rPr>
                <w:webHidden/>
              </w:rPr>
              <w:t>5</w:t>
            </w:r>
            <w:r w:rsidR="001779E9">
              <w:rPr>
                <w:webHidden/>
              </w:rPr>
              <w:fldChar w:fldCharType="end"/>
            </w:r>
          </w:hyperlink>
        </w:p>
        <w:p w:rsidR="001779E9" w:rsidRDefault="00D90487">
          <w:pPr>
            <w:pStyle w:val="TOC2"/>
            <w:rPr>
              <w:sz w:val="22"/>
            </w:rPr>
          </w:pPr>
          <w:hyperlink w:anchor="_Toc382926503" w:history="1">
            <w:r w:rsidR="001779E9" w:rsidRPr="00BA0B98">
              <w:rPr>
                <w:rStyle w:val="Hyperlink"/>
              </w:rPr>
              <w:t>1.4</w:t>
            </w:r>
            <w:r w:rsidR="001779E9">
              <w:rPr>
                <w:sz w:val="22"/>
              </w:rPr>
              <w:tab/>
            </w:r>
            <w:r w:rsidR="001779E9" w:rsidRPr="00BA0B98">
              <w:rPr>
                <w:rStyle w:val="Hyperlink"/>
              </w:rPr>
              <w:t>Current PLS Program Status</w:t>
            </w:r>
            <w:r w:rsidR="001779E9">
              <w:rPr>
                <w:webHidden/>
              </w:rPr>
              <w:tab/>
            </w:r>
            <w:r w:rsidR="001779E9">
              <w:rPr>
                <w:webHidden/>
              </w:rPr>
              <w:fldChar w:fldCharType="begin"/>
            </w:r>
            <w:r w:rsidR="001779E9">
              <w:rPr>
                <w:webHidden/>
              </w:rPr>
              <w:instrText xml:space="preserve"> PAGEREF _Toc382926503 \h </w:instrText>
            </w:r>
            <w:r w:rsidR="001779E9">
              <w:rPr>
                <w:webHidden/>
              </w:rPr>
            </w:r>
            <w:r w:rsidR="001779E9">
              <w:rPr>
                <w:webHidden/>
              </w:rPr>
              <w:fldChar w:fldCharType="separate"/>
            </w:r>
            <w:r w:rsidR="001779E9">
              <w:rPr>
                <w:webHidden/>
              </w:rPr>
              <w:t>6</w:t>
            </w:r>
            <w:r w:rsidR="001779E9">
              <w:rPr>
                <w:webHidden/>
              </w:rPr>
              <w:fldChar w:fldCharType="end"/>
            </w:r>
          </w:hyperlink>
        </w:p>
        <w:p w:rsidR="001779E9" w:rsidRDefault="00D90487">
          <w:pPr>
            <w:pStyle w:val="TOC2"/>
            <w:rPr>
              <w:sz w:val="22"/>
            </w:rPr>
          </w:pPr>
          <w:hyperlink w:anchor="_Toc382926504" w:history="1">
            <w:r w:rsidR="001779E9" w:rsidRPr="00BA0B98">
              <w:rPr>
                <w:rStyle w:val="Hyperlink"/>
              </w:rPr>
              <w:t>1.5</w:t>
            </w:r>
            <w:r w:rsidR="001779E9">
              <w:rPr>
                <w:sz w:val="22"/>
              </w:rPr>
              <w:tab/>
            </w:r>
            <w:r w:rsidR="001779E9" w:rsidRPr="00BA0B98">
              <w:rPr>
                <w:rStyle w:val="Hyperlink"/>
              </w:rPr>
              <w:t>Confidentiality Concerns</w:t>
            </w:r>
            <w:r w:rsidR="001779E9">
              <w:rPr>
                <w:webHidden/>
              </w:rPr>
              <w:tab/>
            </w:r>
            <w:r w:rsidR="001779E9">
              <w:rPr>
                <w:webHidden/>
              </w:rPr>
              <w:fldChar w:fldCharType="begin"/>
            </w:r>
            <w:r w:rsidR="001779E9">
              <w:rPr>
                <w:webHidden/>
              </w:rPr>
              <w:instrText xml:space="preserve"> PAGEREF _Toc382926504 \h </w:instrText>
            </w:r>
            <w:r w:rsidR="001779E9">
              <w:rPr>
                <w:webHidden/>
              </w:rPr>
            </w:r>
            <w:r w:rsidR="001779E9">
              <w:rPr>
                <w:webHidden/>
              </w:rPr>
              <w:fldChar w:fldCharType="separate"/>
            </w:r>
            <w:r w:rsidR="001779E9">
              <w:rPr>
                <w:webHidden/>
              </w:rPr>
              <w:t>7</w:t>
            </w:r>
            <w:r w:rsidR="001779E9">
              <w:rPr>
                <w:webHidden/>
              </w:rPr>
              <w:fldChar w:fldCharType="end"/>
            </w:r>
          </w:hyperlink>
        </w:p>
        <w:p w:rsidR="001779E9" w:rsidRDefault="00D90487">
          <w:pPr>
            <w:pStyle w:val="TOC2"/>
            <w:rPr>
              <w:sz w:val="22"/>
            </w:rPr>
          </w:pPr>
          <w:hyperlink w:anchor="_Toc382926505" w:history="1">
            <w:r w:rsidR="001779E9" w:rsidRPr="00BA0B98">
              <w:rPr>
                <w:rStyle w:val="Hyperlink"/>
              </w:rPr>
              <w:t>1.6</w:t>
            </w:r>
            <w:r w:rsidR="001779E9">
              <w:rPr>
                <w:sz w:val="22"/>
              </w:rPr>
              <w:tab/>
            </w:r>
            <w:r w:rsidR="001779E9" w:rsidRPr="00BA0B98">
              <w:rPr>
                <w:rStyle w:val="Hyperlink"/>
              </w:rPr>
              <w:t>Report Organization</w:t>
            </w:r>
            <w:r w:rsidR="001779E9">
              <w:rPr>
                <w:webHidden/>
              </w:rPr>
              <w:tab/>
            </w:r>
            <w:r w:rsidR="001779E9">
              <w:rPr>
                <w:webHidden/>
              </w:rPr>
              <w:fldChar w:fldCharType="begin"/>
            </w:r>
            <w:r w:rsidR="001779E9">
              <w:rPr>
                <w:webHidden/>
              </w:rPr>
              <w:instrText xml:space="preserve"> PAGEREF _Toc382926505 \h </w:instrText>
            </w:r>
            <w:r w:rsidR="001779E9">
              <w:rPr>
                <w:webHidden/>
              </w:rPr>
            </w:r>
            <w:r w:rsidR="001779E9">
              <w:rPr>
                <w:webHidden/>
              </w:rPr>
              <w:fldChar w:fldCharType="separate"/>
            </w:r>
            <w:r w:rsidR="001779E9">
              <w:rPr>
                <w:webHidden/>
              </w:rPr>
              <w:t>8</w:t>
            </w:r>
            <w:r w:rsidR="001779E9">
              <w:rPr>
                <w:webHidden/>
              </w:rPr>
              <w:fldChar w:fldCharType="end"/>
            </w:r>
          </w:hyperlink>
        </w:p>
        <w:p w:rsidR="001779E9" w:rsidRDefault="00D90487">
          <w:pPr>
            <w:pStyle w:val="TOC1"/>
            <w:rPr>
              <w:sz w:val="22"/>
            </w:rPr>
          </w:pPr>
          <w:hyperlink w:anchor="_Toc382926506" w:history="1">
            <w:r w:rsidR="001779E9" w:rsidRPr="00BA0B98">
              <w:rPr>
                <w:rStyle w:val="Hyperlink"/>
              </w:rPr>
              <w:t>2</w:t>
            </w:r>
            <w:r w:rsidR="001779E9">
              <w:rPr>
                <w:sz w:val="22"/>
              </w:rPr>
              <w:tab/>
            </w:r>
            <w:r w:rsidR="001779E9" w:rsidRPr="00BA0B98">
              <w:rPr>
                <w:rStyle w:val="Hyperlink"/>
              </w:rPr>
              <w:t>Methodology</w:t>
            </w:r>
            <w:r w:rsidR="001779E9">
              <w:rPr>
                <w:webHidden/>
              </w:rPr>
              <w:tab/>
            </w:r>
            <w:r w:rsidR="001779E9">
              <w:rPr>
                <w:webHidden/>
              </w:rPr>
              <w:fldChar w:fldCharType="begin"/>
            </w:r>
            <w:r w:rsidR="001779E9">
              <w:rPr>
                <w:webHidden/>
              </w:rPr>
              <w:instrText xml:space="preserve"> PAGEREF _Toc382926506 \h </w:instrText>
            </w:r>
            <w:r w:rsidR="001779E9">
              <w:rPr>
                <w:webHidden/>
              </w:rPr>
            </w:r>
            <w:r w:rsidR="001779E9">
              <w:rPr>
                <w:webHidden/>
              </w:rPr>
              <w:fldChar w:fldCharType="separate"/>
            </w:r>
            <w:r w:rsidR="001779E9">
              <w:rPr>
                <w:webHidden/>
              </w:rPr>
              <w:t>9</w:t>
            </w:r>
            <w:r w:rsidR="001779E9">
              <w:rPr>
                <w:webHidden/>
              </w:rPr>
              <w:fldChar w:fldCharType="end"/>
            </w:r>
          </w:hyperlink>
        </w:p>
        <w:p w:rsidR="001779E9" w:rsidRDefault="00D90487">
          <w:pPr>
            <w:pStyle w:val="TOC2"/>
            <w:rPr>
              <w:sz w:val="22"/>
            </w:rPr>
          </w:pPr>
          <w:hyperlink w:anchor="_Toc382926507" w:history="1">
            <w:r w:rsidR="001779E9" w:rsidRPr="00BA0B98">
              <w:rPr>
                <w:rStyle w:val="Hyperlink"/>
              </w:rPr>
              <w:t>2.1</w:t>
            </w:r>
            <w:r w:rsidR="001779E9">
              <w:rPr>
                <w:sz w:val="22"/>
              </w:rPr>
              <w:tab/>
            </w:r>
            <w:r w:rsidR="001779E9" w:rsidRPr="00BA0B98">
              <w:rPr>
                <w:rStyle w:val="Hyperlink"/>
              </w:rPr>
              <w:t>Unidentified Projects</w:t>
            </w:r>
            <w:r w:rsidR="001779E9">
              <w:rPr>
                <w:webHidden/>
              </w:rPr>
              <w:tab/>
            </w:r>
            <w:r w:rsidR="001779E9">
              <w:rPr>
                <w:webHidden/>
              </w:rPr>
              <w:fldChar w:fldCharType="begin"/>
            </w:r>
            <w:r w:rsidR="001779E9">
              <w:rPr>
                <w:webHidden/>
              </w:rPr>
              <w:instrText xml:space="preserve"> PAGEREF _Toc382926507 \h </w:instrText>
            </w:r>
            <w:r w:rsidR="001779E9">
              <w:rPr>
                <w:webHidden/>
              </w:rPr>
            </w:r>
            <w:r w:rsidR="001779E9">
              <w:rPr>
                <w:webHidden/>
              </w:rPr>
              <w:fldChar w:fldCharType="separate"/>
            </w:r>
            <w:r w:rsidR="001779E9">
              <w:rPr>
                <w:webHidden/>
              </w:rPr>
              <w:t>11</w:t>
            </w:r>
            <w:r w:rsidR="001779E9">
              <w:rPr>
                <w:webHidden/>
              </w:rPr>
              <w:fldChar w:fldCharType="end"/>
            </w:r>
          </w:hyperlink>
        </w:p>
        <w:p w:rsidR="001779E9" w:rsidRDefault="00D90487">
          <w:pPr>
            <w:pStyle w:val="TOC2"/>
            <w:rPr>
              <w:sz w:val="22"/>
            </w:rPr>
          </w:pPr>
          <w:hyperlink w:anchor="_Toc382926508" w:history="1">
            <w:r w:rsidR="001779E9" w:rsidRPr="00BA0B98">
              <w:rPr>
                <w:rStyle w:val="Hyperlink"/>
              </w:rPr>
              <w:t>2.2</w:t>
            </w:r>
            <w:r w:rsidR="001779E9">
              <w:rPr>
                <w:sz w:val="22"/>
              </w:rPr>
              <w:tab/>
            </w:r>
            <w:r w:rsidR="001779E9" w:rsidRPr="00BA0B98">
              <w:rPr>
                <w:rStyle w:val="Hyperlink"/>
              </w:rPr>
              <w:t>Identified Projects</w:t>
            </w:r>
            <w:r w:rsidR="001779E9">
              <w:rPr>
                <w:webHidden/>
              </w:rPr>
              <w:tab/>
            </w:r>
            <w:r w:rsidR="001779E9">
              <w:rPr>
                <w:webHidden/>
              </w:rPr>
              <w:fldChar w:fldCharType="begin"/>
            </w:r>
            <w:r w:rsidR="001779E9">
              <w:rPr>
                <w:webHidden/>
              </w:rPr>
              <w:instrText xml:space="preserve"> PAGEREF _Toc382926508 \h </w:instrText>
            </w:r>
            <w:r w:rsidR="001779E9">
              <w:rPr>
                <w:webHidden/>
              </w:rPr>
            </w:r>
            <w:r w:rsidR="001779E9">
              <w:rPr>
                <w:webHidden/>
              </w:rPr>
              <w:fldChar w:fldCharType="separate"/>
            </w:r>
            <w:r w:rsidR="001779E9">
              <w:rPr>
                <w:webHidden/>
              </w:rPr>
              <w:t>13</w:t>
            </w:r>
            <w:r w:rsidR="001779E9">
              <w:rPr>
                <w:webHidden/>
              </w:rPr>
              <w:fldChar w:fldCharType="end"/>
            </w:r>
          </w:hyperlink>
        </w:p>
        <w:p w:rsidR="001779E9" w:rsidRDefault="00D90487">
          <w:pPr>
            <w:pStyle w:val="TOC3"/>
            <w:rPr>
              <w:rFonts w:asciiTheme="minorHAnsi" w:hAnsiTheme="minorHAnsi" w:cstheme="minorBidi"/>
              <w:sz w:val="22"/>
              <w:szCs w:val="22"/>
            </w:rPr>
          </w:pPr>
          <w:hyperlink w:anchor="_Toc382926509" w:history="1">
            <w:r w:rsidR="001779E9" w:rsidRPr="00BA0B98">
              <w:rPr>
                <w:rStyle w:val="Hyperlink"/>
              </w:rPr>
              <w:t>2.2.1</w:t>
            </w:r>
            <w:r w:rsidR="001779E9">
              <w:rPr>
                <w:rFonts w:asciiTheme="minorHAnsi" w:hAnsiTheme="minorHAnsi" w:cstheme="minorBidi"/>
                <w:sz w:val="22"/>
                <w:szCs w:val="22"/>
              </w:rPr>
              <w:tab/>
            </w:r>
            <w:r w:rsidR="001779E9" w:rsidRPr="00BA0B98">
              <w:rPr>
                <w:rStyle w:val="Hyperlink"/>
              </w:rPr>
              <w:t>PG&amp;E Approach</w:t>
            </w:r>
            <w:r w:rsidR="001779E9">
              <w:rPr>
                <w:webHidden/>
              </w:rPr>
              <w:tab/>
            </w:r>
            <w:r w:rsidR="001779E9">
              <w:rPr>
                <w:webHidden/>
              </w:rPr>
              <w:fldChar w:fldCharType="begin"/>
            </w:r>
            <w:r w:rsidR="001779E9">
              <w:rPr>
                <w:webHidden/>
              </w:rPr>
              <w:instrText xml:space="preserve"> PAGEREF _Toc382926509 \h </w:instrText>
            </w:r>
            <w:r w:rsidR="001779E9">
              <w:rPr>
                <w:webHidden/>
              </w:rPr>
            </w:r>
            <w:r w:rsidR="001779E9">
              <w:rPr>
                <w:webHidden/>
              </w:rPr>
              <w:fldChar w:fldCharType="separate"/>
            </w:r>
            <w:r w:rsidR="001779E9">
              <w:rPr>
                <w:webHidden/>
              </w:rPr>
              <w:t>13</w:t>
            </w:r>
            <w:r w:rsidR="001779E9">
              <w:rPr>
                <w:webHidden/>
              </w:rPr>
              <w:fldChar w:fldCharType="end"/>
            </w:r>
          </w:hyperlink>
        </w:p>
        <w:p w:rsidR="001779E9" w:rsidRDefault="00D90487">
          <w:pPr>
            <w:pStyle w:val="TOC3"/>
            <w:rPr>
              <w:rFonts w:asciiTheme="minorHAnsi" w:hAnsiTheme="minorHAnsi" w:cstheme="minorBidi"/>
              <w:sz w:val="22"/>
              <w:szCs w:val="22"/>
            </w:rPr>
          </w:pPr>
          <w:hyperlink w:anchor="_Toc382926510" w:history="1">
            <w:r w:rsidR="001779E9" w:rsidRPr="00BA0B98">
              <w:rPr>
                <w:rStyle w:val="Hyperlink"/>
              </w:rPr>
              <w:t>2.2.1</w:t>
            </w:r>
            <w:r w:rsidR="001779E9">
              <w:rPr>
                <w:rFonts w:asciiTheme="minorHAnsi" w:hAnsiTheme="minorHAnsi" w:cstheme="minorBidi"/>
                <w:sz w:val="22"/>
                <w:szCs w:val="22"/>
              </w:rPr>
              <w:tab/>
            </w:r>
            <w:r w:rsidR="001779E9" w:rsidRPr="00BA0B98">
              <w:rPr>
                <w:rStyle w:val="Hyperlink"/>
              </w:rPr>
              <w:t>SCE and SDG&amp;E Approach</w:t>
            </w:r>
            <w:r w:rsidR="001779E9">
              <w:rPr>
                <w:webHidden/>
              </w:rPr>
              <w:tab/>
            </w:r>
            <w:r w:rsidR="001779E9">
              <w:rPr>
                <w:webHidden/>
              </w:rPr>
              <w:fldChar w:fldCharType="begin"/>
            </w:r>
            <w:r w:rsidR="001779E9">
              <w:rPr>
                <w:webHidden/>
              </w:rPr>
              <w:instrText xml:space="preserve"> PAGEREF _Toc382926510 \h </w:instrText>
            </w:r>
            <w:r w:rsidR="001779E9">
              <w:rPr>
                <w:webHidden/>
              </w:rPr>
            </w:r>
            <w:r w:rsidR="001779E9">
              <w:rPr>
                <w:webHidden/>
              </w:rPr>
              <w:fldChar w:fldCharType="separate"/>
            </w:r>
            <w:r w:rsidR="001779E9">
              <w:rPr>
                <w:webHidden/>
              </w:rPr>
              <w:t>16</w:t>
            </w:r>
            <w:r w:rsidR="001779E9">
              <w:rPr>
                <w:webHidden/>
              </w:rPr>
              <w:fldChar w:fldCharType="end"/>
            </w:r>
          </w:hyperlink>
        </w:p>
        <w:p w:rsidR="001779E9" w:rsidRDefault="00D90487">
          <w:pPr>
            <w:pStyle w:val="TOC1"/>
            <w:rPr>
              <w:sz w:val="22"/>
            </w:rPr>
          </w:pPr>
          <w:hyperlink w:anchor="_Toc382926511" w:history="1">
            <w:r w:rsidR="001779E9" w:rsidRPr="00BA0B98">
              <w:rPr>
                <w:rStyle w:val="Hyperlink"/>
              </w:rPr>
              <w:t>3</w:t>
            </w:r>
            <w:r w:rsidR="001779E9">
              <w:rPr>
                <w:sz w:val="22"/>
              </w:rPr>
              <w:tab/>
            </w:r>
            <w:r w:rsidR="001779E9" w:rsidRPr="00BA0B98">
              <w:rPr>
                <w:rStyle w:val="Hyperlink"/>
              </w:rPr>
              <w:t>Summary of Assumptions and Enrollment Forecast</w:t>
            </w:r>
            <w:r w:rsidR="001779E9">
              <w:rPr>
                <w:webHidden/>
              </w:rPr>
              <w:tab/>
            </w:r>
            <w:r w:rsidR="001779E9">
              <w:rPr>
                <w:webHidden/>
              </w:rPr>
              <w:fldChar w:fldCharType="begin"/>
            </w:r>
            <w:r w:rsidR="001779E9">
              <w:rPr>
                <w:webHidden/>
              </w:rPr>
              <w:instrText xml:space="preserve"> PAGEREF _Toc382926511 \h </w:instrText>
            </w:r>
            <w:r w:rsidR="001779E9">
              <w:rPr>
                <w:webHidden/>
              </w:rPr>
            </w:r>
            <w:r w:rsidR="001779E9">
              <w:rPr>
                <w:webHidden/>
              </w:rPr>
              <w:fldChar w:fldCharType="separate"/>
            </w:r>
            <w:r w:rsidR="001779E9">
              <w:rPr>
                <w:webHidden/>
              </w:rPr>
              <w:t>18</w:t>
            </w:r>
            <w:r w:rsidR="001779E9">
              <w:rPr>
                <w:webHidden/>
              </w:rPr>
              <w:fldChar w:fldCharType="end"/>
            </w:r>
          </w:hyperlink>
        </w:p>
        <w:p w:rsidR="001779E9" w:rsidRDefault="00D90487">
          <w:pPr>
            <w:pStyle w:val="TOC1"/>
            <w:rPr>
              <w:sz w:val="22"/>
            </w:rPr>
          </w:pPr>
          <w:hyperlink w:anchor="_Toc382926512" w:history="1">
            <w:r w:rsidR="001779E9" w:rsidRPr="00BA0B98">
              <w:rPr>
                <w:rStyle w:val="Hyperlink"/>
              </w:rPr>
              <w:t>4</w:t>
            </w:r>
            <w:r w:rsidR="001779E9">
              <w:rPr>
                <w:sz w:val="22"/>
              </w:rPr>
              <w:tab/>
            </w:r>
            <w:r w:rsidR="001779E9" w:rsidRPr="00BA0B98">
              <w:rPr>
                <w:rStyle w:val="Hyperlink"/>
              </w:rPr>
              <w:t>Ex Ante Impact Estimates</w:t>
            </w:r>
            <w:r w:rsidR="001779E9">
              <w:rPr>
                <w:webHidden/>
              </w:rPr>
              <w:tab/>
            </w:r>
            <w:r w:rsidR="001779E9">
              <w:rPr>
                <w:webHidden/>
              </w:rPr>
              <w:fldChar w:fldCharType="begin"/>
            </w:r>
            <w:r w:rsidR="001779E9">
              <w:rPr>
                <w:webHidden/>
              </w:rPr>
              <w:instrText xml:space="preserve"> PAGEREF _Toc382926512 \h </w:instrText>
            </w:r>
            <w:r w:rsidR="001779E9">
              <w:rPr>
                <w:webHidden/>
              </w:rPr>
            </w:r>
            <w:r w:rsidR="001779E9">
              <w:rPr>
                <w:webHidden/>
              </w:rPr>
              <w:fldChar w:fldCharType="separate"/>
            </w:r>
            <w:r w:rsidR="001779E9">
              <w:rPr>
                <w:webHidden/>
              </w:rPr>
              <w:t>22</w:t>
            </w:r>
            <w:r w:rsidR="001779E9">
              <w:rPr>
                <w:webHidden/>
              </w:rPr>
              <w:fldChar w:fldCharType="end"/>
            </w:r>
          </w:hyperlink>
        </w:p>
        <w:p w:rsidR="001779E9" w:rsidRDefault="00D90487">
          <w:pPr>
            <w:pStyle w:val="TOC2"/>
            <w:rPr>
              <w:sz w:val="22"/>
            </w:rPr>
          </w:pPr>
          <w:hyperlink w:anchor="_Toc382926513" w:history="1">
            <w:r w:rsidR="001779E9" w:rsidRPr="00BA0B98">
              <w:rPr>
                <w:rStyle w:val="Hyperlink"/>
              </w:rPr>
              <w:t>4.1</w:t>
            </w:r>
            <w:r w:rsidR="001779E9">
              <w:rPr>
                <w:sz w:val="22"/>
              </w:rPr>
              <w:tab/>
            </w:r>
            <w:r w:rsidR="001779E9" w:rsidRPr="00BA0B98">
              <w:rPr>
                <w:rStyle w:val="Hyperlink"/>
              </w:rPr>
              <w:t>PG&amp;E Results</w:t>
            </w:r>
            <w:r w:rsidR="001779E9">
              <w:rPr>
                <w:webHidden/>
              </w:rPr>
              <w:tab/>
            </w:r>
            <w:r w:rsidR="001779E9">
              <w:rPr>
                <w:webHidden/>
              </w:rPr>
              <w:fldChar w:fldCharType="begin"/>
            </w:r>
            <w:r w:rsidR="001779E9">
              <w:rPr>
                <w:webHidden/>
              </w:rPr>
              <w:instrText xml:space="preserve"> PAGEREF _Toc382926513 \h </w:instrText>
            </w:r>
            <w:r w:rsidR="001779E9">
              <w:rPr>
                <w:webHidden/>
              </w:rPr>
            </w:r>
            <w:r w:rsidR="001779E9">
              <w:rPr>
                <w:webHidden/>
              </w:rPr>
              <w:fldChar w:fldCharType="separate"/>
            </w:r>
            <w:r w:rsidR="001779E9">
              <w:rPr>
                <w:webHidden/>
              </w:rPr>
              <w:t>23</w:t>
            </w:r>
            <w:r w:rsidR="001779E9">
              <w:rPr>
                <w:webHidden/>
              </w:rPr>
              <w:fldChar w:fldCharType="end"/>
            </w:r>
          </w:hyperlink>
        </w:p>
        <w:p w:rsidR="001779E9" w:rsidRDefault="00D90487">
          <w:pPr>
            <w:pStyle w:val="TOC2"/>
            <w:rPr>
              <w:sz w:val="22"/>
            </w:rPr>
          </w:pPr>
          <w:hyperlink w:anchor="_Toc382926514" w:history="1">
            <w:r w:rsidR="001779E9" w:rsidRPr="00BA0B98">
              <w:rPr>
                <w:rStyle w:val="Hyperlink"/>
              </w:rPr>
              <w:t>4.2</w:t>
            </w:r>
            <w:r w:rsidR="001779E9">
              <w:rPr>
                <w:sz w:val="22"/>
              </w:rPr>
              <w:tab/>
            </w:r>
            <w:r w:rsidR="001779E9" w:rsidRPr="00BA0B98">
              <w:rPr>
                <w:rStyle w:val="Hyperlink"/>
              </w:rPr>
              <w:t>SCE Results</w:t>
            </w:r>
            <w:r w:rsidR="001779E9">
              <w:rPr>
                <w:webHidden/>
              </w:rPr>
              <w:tab/>
            </w:r>
            <w:r w:rsidR="001779E9">
              <w:rPr>
                <w:webHidden/>
              </w:rPr>
              <w:fldChar w:fldCharType="begin"/>
            </w:r>
            <w:r w:rsidR="001779E9">
              <w:rPr>
                <w:webHidden/>
              </w:rPr>
              <w:instrText xml:space="preserve"> PAGEREF _Toc382926514 \h </w:instrText>
            </w:r>
            <w:r w:rsidR="001779E9">
              <w:rPr>
                <w:webHidden/>
              </w:rPr>
            </w:r>
            <w:r w:rsidR="001779E9">
              <w:rPr>
                <w:webHidden/>
              </w:rPr>
              <w:fldChar w:fldCharType="separate"/>
            </w:r>
            <w:r w:rsidR="001779E9">
              <w:rPr>
                <w:webHidden/>
              </w:rPr>
              <w:t>28</w:t>
            </w:r>
            <w:r w:rsidR="001779E9">
              <w:rPr>
                <w:webHidden/>
              </w:rPr>
              <w:fldChar w:fldCharType="end"/>
            </w:r>
          </w:hyperlink>
        </w:p>
        <w:p w:rsidR="001779E9" w:rsidRDefault="00D90487">
          <w:pPr>
            <w:pStyle w:val="TOC2"/>
            <w:rPr>
              <w:sz w:val="22"/>
            </w:rPr>
          </w:pPr>
          <w:hyperlink w:anchor="_Toc382926515" w:history="1">
            <w:r w:rsidR="001779E9" w:rsidRPr="00BA0B98">
              <w:rPr>
                <w:rStyle w:val="Hyperlink"/>
              </w:rPr>
              <w:t>4.3</w:t>
            </w:r>
            <w:r w:rsidR="001779E9">
              <w:rPr>
                <w:sz w:val="22"/>
              </w:rPr>
              <w:tab/>
            </w:r>
            <w:r w:rsidR="001779E9" w:rsidRPr="00BA0B98">
              <w:rPr>
                <w:rStyle w:val="Hyperlink"/>
              </w:rPr>
              <w:t>SDG&amp;E Results</w:t>
            </w:r>
            <w:r w:rsidR="001779E9">
              <w:rPr>
                <w:webHidden/>
              </w:rPr>
              <w:tab/>
            </w:r>
            <w:r w:rsidR="001779E9">
              <w:rPr>
                <w:webHidden/>
              </w:rPr>
              <w:fldChar w:fldCharType="begin"/>
            </w:r>
            <w:r w:rsidR="001779E9">
              <w:rPr>
                <w:webHidden/>
              </w:rPr>
              <w:instrText xml:space="preserve"> PAGEREF _Toc382926515 \h </w:instrText>
            </w:r>
            <w:r w:rsidR="001779E9">
              <w:rPr>
                <w:webHidden/>
              </w:rPr>
            </w:r>
            <w:r w:rsidR="001779E9">
              <w:rPr>
                <w:webHidden/>
              </w:rPr>
              <w:fldChar w:fldCharType="separate"/>
            </w:r>
            <w:r w:rsidR="001779E9">
              <w:rPr>
                <w:webHidden/>
              </w:rPr>
              <w:t>32</w:t>
            </w:r>
            <w:r w:rsidR="001779E9">
              <w:rPr>
                <w:webHidden/>
              </w:rPr>
              <w:fldChar w:fldCharType="end"/>
            </w:r>
          </w:hyperlink>
        </w:p>
        <w:p w:rsidR="001779E9" w:rsidRDefault="00D90487">
          <w:pPr>
            <w:pStyle w:val="TOC1"/>
            <w:rPr>
              <w:sz w:val="22"/>
            </w:rPr>
          </w:pPr>
          <w:hyperlink w:anchor="_Toc382926516" w:history="1">
            <w:r w:rsidR="001779E9" w:rsidRPr="00BA0B98">
              <w:rPr>
                <w:rStyle w:val="Hyperlink"/>
              </w:rPr>
              <w:t>5</w:t>
            </w:r>
            <w:r w:rsidR="001779E9">
              <w:rPr>
                <w:sz w:val="22"/>
              </w:rPr>
              <w:tab/>
            </w:r>
            <w:r w:rsidR="001779E9" w:rsidRPr="00BA0B98">
              <w:rPr>
                <w:rStyle w:val="Hyperlink"/>
              </w:rPr>
              <w:t>Recommendations</w:t>
            </w:r>
            <w:r w:rsidR="001779E9">
              <w:rPr>
                <w:webHidden/>
              </w:rPr>
              <w:tab/>
            </w:r>
            <w:r w:rsidR="001779E9">
              <w:rPr>
                <w:webHidden/>
              </w:rPr>
              <w:fldChar w:fldCharType="begin"/>
            </w:r>
            <w:r w:rsidR="001779E9">
              <w:rPr>
                <w:webHidden/>
              </w:rPr>
              <w:instrText xml:space="preserve"> PAGEREF _Toc382926516 \h </w:instrText>
            </w:r>
            <w:r w:rsidR="001779E9">
              <w:rPr>
                <w:webHidden/>
              </w:rPr>
            </w:r>
            <w:r w:rsidR="001779E9">
              <w:rPr>
                <w:webHidden/>
              </w:rPr>
              <w:fldChar w:fldCharType="separate"/>
            </w:r>
            <w:r w:rsidR="001779E9">
              <w:rPr>
                <w:webHidden/>
              </w:rPr>
              <w:t>38</w:t>
            </w:r>
            <w:r w:rsidR="001779E9">
              <w:rPr>
                <w:webHidden/>
              </w:rPr>
              <w:fldChar w:fldCharType="end"/>
            </w:r>
          </w:hyperlink>
        </w:p>
        <w:p w:rsidR="001779E9" w:rsidRDefault="00D90487">
          <w:pPr>
            <w:pStyle w:val="TOC1"/>
            <w:rPr>
              <w:sz w:val="22"/>
            </w:rPr>
          </w:pPr>
          <w:hyperlink w:anchor="_Toc382926517" w:history="1">
            <w:r w:rsidR="001779E9" w:rsidRPr="00BA0B98">
              <w:rPr>
                <w:rStyle w:val="Hyperlink"/>
                <w:snapToGrid w:val="0"/>
                <w:w w:val="0"/>
              </w:rPr>
              <w:t>Appendix A</w:t>
            </w:r>
            <w:r w:rsidR="001779E9">
              <w:rPr>
                <w:sz w:val="22"/>
              </w:rPr>
              <w:tab/>
            </w:r>
            <w:r w:rsidR="001779E9" w:rsidRPr="00BA0B98">
              <w:rPr>
                <w:rStyle w:val="Hyperlink"/>
              </w:rPr>
              <w:t>Methodology for Developing Ex Ante Conversion Factors</w:t>
            </w:r>
            <w:r w:rsidR="001779E9">
              <w:rPr>
                <w:webHidden/>
              </w:rPr>
              <w:tab/>
            </w:r>
            <w:r w:rsidR="001779E9">
              <w:rPr>
                <w:webHidden/>
              </w:rPr>
              <w:fldChar w:fldCharType="begin"/>
            </w:r>
            <w:r w:rsidR="001779E9">
              <w:rPr>
                <w:webHidden/>
              </w:rPr>
              <w:instrText xml:space="preserve"> PAGEREF _Toc382926517 \h </w:instrText>
            </w:r>
            <w:r w:rsidR="001779E9">
              <w:rPr>
                <w:webHidden/>
              </w:rPr>
            </w:r>
            <w:r w:rsidR="001779E9">
              <w:rPr>
                <w:webHidden/>
              </w:rPr>
              <w:fldChar w:fldCharType="separate"/>
            </w:r>
            <w:r w:rsidR="001779E9">
              <w:rPr>
                <w:webHidden/>
              </w:rPr>
              <w:t>39</w:t>
            </w:r>
            <w:r w:rsidR="001779E9">
              <w:rPr>
                <w:webHidden/>
              </w:rPr>
              <w:fldChar w:fldCharType="end"/>
            </w:r>
          </w:hyperlink>
        </w:p>
        <w:p w:rsidR="002F58AD" w:rsidRDefault="00DE4B63" w:rsidP="00675B29">
          <w:pPr>
            <w:tabs>
              <w:tab w:val="right" w:leader="dot" w:pos="8460"/>
            </w:tabs>
          </w:pPr>
          <w:r>
            <w:rPr>
              <w:rFonts w:ascii="Arial" w:hAnsi="Arial" w:cs="Arial"/>
              <w:noProof/>
              <w:sz w:val="24"/>
              <w:szCs w:val="24"/>
            </w:rPr>
            <w:fldChar w:fldCharType="end"/>
          </w:r>
        </w:p>
      </w:sdtContent>
    </w:sdt>
    <w:p w:rsidR="00DB35F9" w:rsidRPr="00ED253C" w:rsidRDefault="00DB35F9" w:rsidP="002F58AD">
      <w:pPr>
        <w:pStyle w:val="PreparedForCompany"/>
        <w:jc w:val="left"/>
      </w:pPr>
    </w:p>
    <w:p w:rsidR="002F58AD" w:rsidRDefault="002F58AD" w:rsidP="002F58AD">
      <w:pPr>
        <w:tabs>
          <w:tab w:val="left" w:pos="2292"/>
        </w:tabs>
        <w:spacing w:before="240"/>
        <w:rPr>
          <w:b/>
          <w:color w:val="433B67"/>
          <w:sz w:val="28"/>
          <w:szCs w:val="28"/>
        </w:rPr>
      </w:pPr>
    </w:p>
    <w:p w:rsidR="002F58AD" w:rsidRDefault="002F58AD" w:rsidP="002F58AD">
      <w:pPr>
        <w:rPr>
          <w:sz w:val="28"/>
          <w:szCs w:val="28"/>
        </w:rPr>
      </w:pPr>
    </w:p>
    <w:p w:rsidR="00DB35F9" w:rsidRPr="002F58AD" w:rsidRDefault="00DB35F9" w:rsidP="002F58AD">
      <w:pPr>
        <w:rPr>
          <w:sz w:val="28"/>
          <w:szCs w:val="28"/>
        </w:rPr>
        <w:sectPr w:rsidR="00DB35F9" w:rsidRPr="002F58AD" w:rsidSect="00B50663">
          <w:headerReference w:type="default" r:id="rId15"/>
          <w:footerReference w:type="default" r:id="rId16"/>
          <w:headerReference w:type="first" r:id="rId17"/>
          <w:footerReference w:type="first" r:id="rId18"/>
          <w:pgSz w:w="12240" w:h="15840"/>
          <w:pgMar w:top="1440" w:right="1800" w:bottom="1440" w:left="1800" w:header="720" w:footer="720" w:gutter="0"/>
          <w:pgNumType w:fmt="lowerRoman" w:start="1"/>
          <w:cols w:space="720"/>
          <w:docGrid w:linePitch="360"/>
        </w:sectPr>
      </w:pPr>
    </w:p>
    <w:p w:rsidR="00EA72EE" w:rsidRDefault="00EA72EE" w:rsidP="00EA72EE">
      <w:pPr>
        <w:pStyle w:val="Heading1"/>
        <w:numPr>
          <w:ilvl w:val="0"/>
          <w:numId w:val="0"/>
        </w:numPr>
        <w:ind w:left="360" w:hanging="360"/>
      </w:pPr>
      <w:bookmarkStart w:id="1" w:name="_Toc382926498"/>
      <w:bookmarkEnd w:id="0"/>
      <w:r>
        <w:lastRenderedPageBreak/>
        <w:t>Abstract</w:t>
      </w:r>
      <w:bookmarkEnd w:id="1"/>
    </w:p>
    <w:p w:rsidR="00EA72EE" w:rsidRPr="00EA72EE" w:rsidRDefault="0008746D" w:rsidP="00EA72EE">
      <w:pPr>
        <w:pStyle w:val="BodyParagraph"/>
      </w:pPr>
      <w:r w:rsidRPr="0093579B">
        <w:t xml:space="preserve">This evaluation documents the </w:t>
      </w:r>
      <w:proofErr w:type="spellStart"/>
      <w:r>
        <w:t>ex ante</w:t>
      </w:r>
      <w:proofErr w:type="spellEnd"/>
      <w:r w:rsidRPr="0093579B">
        <w:t xml:space="preserve"> load impact analysis and results for</w:t>
      </w:r>
      <w:r>
        <w:t> the California Statewide Permanent Load Shifting (PLS) program at Pacific Gas &amp; Electric (PG&amp;E), Southern California Edison (SCE) and San Diego Gas &amp; Electric (SDG&amp;E</w:t>
      </w:r>
      <w:r w:rsidR="00EA72EE">
        <w:t xml:space="preserve">).  </w:t>
      </w:r>
      <w:r>
        <w:t>The PLS program provides a one-time incentive payment ($875/kW shifted) to customers who install qualifying PLS-TES technology on typical central air conditioning units or process cooling equipment</w:t>
      </w:r>
      <w:r w:rsidR="00EA72EE">
        <w:t xml:space="preserve">. </w:t>
      </w:r>
      <w:r w:rsidR="00EA72EE" w:rsidRPr="00114C04">
        <w:t xml:space="preserve"> Because program impl</w:t>
      </w:r>
      <w:r w:rsidR="00EA72EE">
        <w:t>ementation recently started in October 2013</w:t>
      </w:r>
      <w:r w:rsidR="00EA72EE" w:rsidRPr="00114C04">
        <w:t xml:space="preserve">, there are no current </w:t>
      </w:r>
      <w:r w:rsidR="00EA72EE">
        <w:t>PLS program installations</w:t>
      </w:r>
      <w:r w:rsidR="00EA72EE" w:rsidRPr="00114C04">
        <w:t xml:space="preserve"> on which to base ex post impact estimates for 2013.  As such, this evaluation focuses on </w:t>
      </w:r>
      <w:r w:rsidR="00EA72EE">
        <w:t>the</w:t>
      </w:r>
      <w:r w:rsidR="00EA72EE" w:rsidRPr="00114C04">
        <w:t xml:space="preserve"> 2014</w:t>
      </w:r>
      <w:r w:rsidR="00EA72EE">
        <w:t>–</w:t>
      </w:r>
      <w:r w:rsidR="00EA72EE" w:rsidRPr="00114C04">
        <w:t>202</w:t>
      </w:r>
      <w:r w:rsidR="00EA72EE">
        <w:t>4 ex ante load impact estimates.  As of January 2014, the utilities received 13 complete applications.  T</w:t>
      </w:r>
      <w:r w:rsidR="00EA72EE" w:rsidRPr="00114C04">
        <w:t xml:space="preserve">he </w:t>
      </w:r>
      <w:proofErr w:type="spellStart"/>
      <w:r w:rsidR="00EA72EE" w:rsidRPr="00114C04">
        <w:t>ex ante</w:t>
      </w:r>
      <w:proofErr w:type="spellEnd"/>
      <w:r w:rsidR="00EA72EE" w:rsidRPr="00114C04">
        <w:t xml:space="preserve"> impact estimates rely on information in these pipeline applications to improve upon the analysis that was done for the 2012 evaluation, which necessarily relied largely on assumptions.</w:t>
      </w:r>
      <w:r w:rsidR="00EA72EE">
        <w:t xml:space="preserve">  Nonetheless, this year’s forecast is still uncertain and relies on assumptions about impacts and further enrollment in the program.  </w:t>
      </w:r>
      <w:r>
        <w:t>If future ex post evaluations show that the PLS-TES technology works differently than expected or if enrollment proceeds at an unexpected pace, this forecast may not reflect the load impacts that the PLS program ultimately delivers</w:t>
      </w:r>
      <w:r w:rsidR="00EA72EE">
        <w:t xml:space="preserve">.  </w:t>
      </w:r>
      <w:r w:rsidR="00EA72EE" w:rsidRPr="00572BFF">
        <w:t xml:space="preserve">This evaluation attempts to reflect this high degree of uncertainty in the forecast by providing low case, base case and high case enrollment and load impact scenarios.  </w:t>
      </w:r>
      <w:r w:rsidR="00EA72EE">
        <w:t>In the base case scenario for the 2017 August monthly system peak under 1-in-10 weather conditions, the program is expected to deliver a 6.7 MW load impact for PG&amp;E, a 8.4 MW load impact for SCE and a 2.2 MW load impact for SDG&amp;E, totaling 17.3 MW statewide.</w:t>
      </w:r>
      <w:r w:rsidR="00EA72EE">
        <w:br w:type="page"/>
      </w:r>
    </w:p>
    <w:p w:rsidR="00752687" w:rsidRDefault="00BF594A" w:rsidP="00143E9F">
      <w:pPr>
        <w:pStyle w:val="Heading1"/>
      </w:pPr>
      <w:bookmarkStart w:id="2" w:name="_Toc382926499"/>
      <w:r>
        <w:lastRenderedPageBreak/>
        <w:t>Introduction</w:t>
      </w:r>
      <w:bookmarkEnd w:id="2"/>
    </w:p>
    <w:p w:rsidR="00114004" w:rsidRDefault="009A16B1" w:rsidP="009A16B1">
      <w:pPr>
        <w:pStyle w:val="BodyParagraph"/>
      </w:pPr>
      <w:r w:rsidRPr="0093579B">
        <w:t xml:space="preserve">This evaluation documents the </w:t>
      </w:r>
      <w:proofErr w:type="spellStart"/>
      <w:r>
        <w:t>ex ante</w:t>
      </w:r>
      <w:proofErr w:type="spellEnd"/>
      <w:r w:rsidRPr="0093579B">
        <w:t xml:space="preserve"> load impact analysis and results for</w:t>
      </w:r>
      <w:r>
        <w:t> the California Statewide</w:t>
      </w:r>
      <w:r w:rsidR="0083129A">
        <w:t xml:space="preserve"> Permanent Load Shifting (PLS) p</w:t>
      </w:r>
      <w:r>
        <w:t xml:space="preserve">rogram at Pacific Gas &amp; Electric (PG&amp;E), Southern California Edison (SCE) and San Diego Gas &amp; Electric (SDG&amp;E).  </w:t>
      </w:r>
      <w:r w:rsidRPr="00114C04">
        <w:t>The statewide PLS program design and rules were finalized and adopted by the California Public Utility Commission (CPUC) in May 2013.</w:t>
      </w:r>
      <w:r w:rsidRPr="00114C04">
        <w:rPr>
          <w:vertAlign w:val="superscript"/>
        </w:rPr>
        <w:footnoteReference w:id="1"/>
      </w:r>
      <w:r w:rsidRPr="00114C04">
        <w:t xml:space="preserve">  Because program impl</w:t>
      </w:r>
      <w:r w:rsidR="001D628D">
        <w:t>ementation recently</w:t>
      </w:r>
      <w:r>
        <w:t xml:space="preserve"> started in October 2013</w:t>
      </w:r>
      <w:r w:rsidRPr="00114C04">
        <w:t xml:space="preserve">, there are no current </w:t>
      </w:r>
      <w:r w:rsidR="0083129A">
        <w:t>PLS program installations</w:t>
      </w:r>
      <w:r w:rsidRPr="00114C04">
        <w:t xml:space="preserve"> on which to base ex post impact estimates for 2013.  As such, this evaluation focuses on </w:t>
      </w:r>
      <w:r>
        <w:t>the</w:t>
      </w:r>
      <w:r w:rsidRPr="00114C04">
        <w:t xml:space="preserve"> 2014</w:t>
      </w:r>
      <w:r>
        <w:t>–</w:t>
      </w:r>
      <w:r w:rsidRPr="00114C04">
        <w:t>2024 ex</w:t>
      </w:r>
      <w:r w:rsidR="009967CB">
        <w:t> </w:t>
      </w:r>
      <w:r w:rsidRPr="00114C04">
        <w:t>ante load impact estimates.</w:t>
      </w:r>
      <w:r w:rsidRPr="00B73C90">
        <w:rPr>
          <w:bCs/>
        </w:rPr>
        <w:t xml:space="preserve">  </w:t>
      </w:r>
      <w:r w:rsidR="00114004">
        <w:t>The program features a technology incentive to encourage thermal energy storage (TES) technology that allows commercial, industrial, agricultural or residential buildings to shift cooling load from on-peak times to overnight.</w:t>
      </w:r>
      <w:r w:rsidR="00114004">
        <w:rPr>
          <w:rStyle w:val="FootnoteReference"/>
        </w:rPr>
        <w:footnoteReference w:id="2"/>
      </w:r>
      <w:r w:rsidR="00114004">
        <w:t xml:space="preserve">  PLS-TES technology can promote system stability, reduce stress on transmission and distribution systems and/or reduce customers’ overall energy costs by shifting load from higher cost on-peak </w:t>
      </w:r>
      <w:r w:rsidR="00434C5C">
        <w:t>hours</w:t>
      </w:r>
      <w:r w:rsidR="00114004">
        <w:t xml:space="preserve"> to lower </w:t>
      </w:r>
      <w:r w:rsidR="00434C5C">
        <w:t xml:space="preserve">cost </w:t>
      </w:r>
      <w:r w:rsidR="00114004">
        <w:t xml:space="preserve">overnight </w:t>
      </w:r>
      <w:r w:rsidR="00434C5C">
        <w:t>hours</w:t>
      </w:r>
      <w:r w:rsidR="00114004">
        <w:t>.</w:t>
      </w:r>
    </w:p>
    <w:p w:rsidR="00725456" w:rsidRDefault="00725456" w:rsidP="00825E80">
      <w:pPr>
        <w:pStyle w:val="Heading2"/>
      </w:pPr>
      <w:bookmarkStart w:id="3" w:name="_Toc382926500"/>
      <w:r>
        <w:t>Background</w:t>
      </w:r>
      <w:bookmarkEnd w:id="3"/>
    </w:p>
    <w:p w:rsidR="009A16B1" w:rsidRDefault="009A16B1" w:rsidP="009A16B1">
      <w:pPr>
        <w:pStyle w:val="BodyParagraph"/>
      </w:pPr>
      <w:r>
        <w:t>Prior to this statewide program, each of the three IOUs conducted PLS programs similar to the currently proposed program</w:t>
      </w:r>
      <w:r w:rsidR="0083129A">
        <w:t>,</w:t>
      </w:r>
      <w:r>
        <w:t xml:space="preserve"> but with different incentive levels and technologies.  These programs arose out of CPUC </w:t>
      </w:r>
      <w:r w:rsidRPr="0050200E">
        <w:t>Decision (D.) 06-11-049, Order Adopting Changes to 2007 Utility Demand Response Programs</w:t>
      </w:r>
      <w:r>
        <w:t xml:space="preserve">, which was </w:t>
      </w:r>
      <w:r w:rsidR="009967CB">
        <w:t>part of the 2006–</w:t>
      </w:r>
      <w:r w:rsidRPr="0050200E">
        <w:t xml:space="preserve">2008 Demand Response Application (A.) 05-06-006, et. al. </w:t>
      </w:r>
      <w:r>
        <w:t xml:space="preserve"> </w:t>
      </w:r>
      <w:r w:rsidRPr="0050200E">
        <w:t xml:space="preserve">This Decision, among other things, ordered the </w:t>
      </w:r>
      <w:r>
        <w:t>IOUs</w:t>
      </w:r>
      <w:r w:rsidR="001D628D">
        <w:t xml:space="preserve"> to pursue r</w:t>
      </w:r>
      <w:r w:rsidRPr="0050200E">
        <w:t xml:space="preserve">equests for </w:t>
      </w:r>
      <w:r w:rsidR="001D628D">
        <w:t>p</w:t>
      </w:r>
      <w:r w:rsidRPr="0050200E">
        <w:t>roposals and bilateral arrangements for PLS</w:t>
      </w:r>
      <w:r w:rsidR="00905726">
        <w:t xml:space="preserve"> installations</w:t>
      </w:r>
      <w:r w:rsidRPr="0050200E">
        <w:t xml:space="preserve"> to promote system reliability during the summer peak demand periods. </w:t>
      </w:r>
      <w:r w:rsidR="009967CB">
        <w:t xml:space="preserve"> </w:t>
      </w:r>
      <w:r w:rsidRPr="0050200E">
        <w:t xml:space="preserve">A four-year PLS </w:t>
      </w:r>
      <w:r>
        <w:t>program</w:t>
      </w:r>
      <w:r w:rsidRPr="0050200E">
        <w:t xml:space="preserve"> was approved for all the </w:t>
      </w:r>
      <w:r>
        <w:t>IOUs</w:t>
      </w:r>
      <w:r w:rsidRPr="0050200E">
        <w:t xml:space="preserve"> from 2008</w:t>
      </w:r>
      <w:r w:rsidR="009967CB">
        <w:t>–</w:t>
      </w:r>
      <w:r w:rsidRPr="0050200E">
        <w:t>2011.</w:t>
      </w:r>
      <w:r>
        <w:t xml:space="preserve">  </w:t>
      </w:r>
      <w:r w:rsidR="00BC1231">
        <w:t>T</w:t>
      </w:r>
      <w:r>
        <w:t>he details of those</w:t>
      </w:r>
      <w:r w:rsidR="00434C5C">
        <w:t xml:space="preserve"> pilot</w:t>
      </w:r>
      <w:r>
        <w:t xml:space="preserve"> </w:t>
      </w:r>
      <w:r w:rsidR="009E7ED6">
        <w:t>programs are</w:t>
      </w:r>
      <w:r w:rsidR="00BC1231">
        <w:t xml:space="preserve"> not revisited </w:t>
      </w:r>
      <w:r>
        <w:t xml:space="preserve">here; </w:t>
      </w:r>
      <w:r w:rsidR="00BC1231">
        <w:t xml:space="preserve">it should just be noted </w:t>
      </w:r>
      <w:r>
        <w:t>that each IOU has recent experience with PLS programs and technologies, although the proposed program design is new and stems</w:t>
      </w:r>
      <w:r w:rsidR="00434C5C" w:rsidRPr="00434C5C">
        <w:t xml:space="preserve"> </w:t>
      </w:r>
      <w:r w:rsidR="00434C5C">
        <w:t xml:space="preserve">from lessons learned and </w:t>
      </w:r>
      <w:r>
        <w:t>a different Decision.</w:t>
      </w:r>
    </w:p>
    <w:p w:rsidR="009A16B1" w:rsidRDefault="009A16B1" w:rsidP="009A16B1">
      <w:pPr>
        <w:pStyle w:val="BodyParagraph"/>
      </w:pPr>
      <w:r w:rsidRPr="00917143">
        <w:t>In Novemb</w:t>
      </w:r>
      <w:r>
        <w:t xml:space="preserve">er 2010, a Statewide PLS Study, </w:t>
      </w:r>
      <w:r w:rsidRPr="00917143">
        <w:t>authored by Energy + Environmental Economi</w:t>
      </w:r>
      <w:r>
        <w:t xml:space="preserve">cs (E3) and </w:t>
      </w:r>
      <w:proofErr w:type="spellStart"/>
      <w:r>
        <w:t>StrateGen</w:t>
      </w:r>
      <w:proofErr w:type="spellEnd"/>
      <w:r>
        <w:t xml:space="preserve">, provided </w:t>
      </w:r>
      <w:r w:rsidRPr="00917143">
        <w:t xml:space="preserve">information to the </w:t>
      </w:r>
      <w:r w:rsidR="00092BFE">
        <w:t>u</w:t>
      </w:r>
      <w:r w:rsidRPr="00917143">
        <w:t>tilities for use in dev</w:t>
      </w:r>
      <w:r>
        <w:t xml:space="preserve">eloping a </w:t>
      </w:r>
      <w:r w:rsidR="00434C5C">
        <w:t xml:space="preserve">new </w:t>
      </w:r>
      <w:r>
        <w:t>proposed PLS program.</w:t>
      </w:r>
      <w:r w:rsidR="00092BFE">
        <w:t xml:space="preserve"> </w:t>
      </w:r>
      <w:r>
        <w:t xml:space="preserve"> </w:t>
      </w:r>
      <w:r w:rsidRPr="00917143">
        <w:t xml:space="preserve">On April 30, 2012, D.12-04-045 ordered the </w:t>
      </w:r>
      <w:r w:rsidR="00092BFE">
        <w:t>u</w:t>
      </w:r>
      <w:r w:rsidRPr="00917143">
        <w:t xml:space="preserve">tilities to </w:t>
      </w:r>
      <w:r>
        <w:t xml:space="preserve">work collaboratively to develop </w:t>
      </w:r>
      <w:r w:rsidRPr="00917143">
        <w:t>and propose a standardized, statewide PLS prog</w:t>
      </w:r>
      <w:r>
        <w:t xml:space="preserve">ram. </w:t>
      </w:r>
      <w:r w:rsidR="00092BFE">
        <w:t xml:space="preserve"> </w:t>
      </w:r>
      <w:r>
        <w:t xml:space="preserve">As part of the PLS program </w:t>
      </w:r>
      <w:r w:rsidRPr="00917143">
        <w:t xml:space="preserve">design process, the </w:t>
      </w:r>
      <w:r w:rsidR="00092BFE">
        <w:t>u</w:t>
      </w:r>
      <w:r w:rsidRPr="00917143">
        <w:t>tilities incorporated the findings fr</w:t>
      </w:r>
      <w:r>
        <w:t xml:space="preserve">om the Statewide PLS Study into </w:t>
      </w:r>
      <w:r w:rsidRPr="00917143">
        <w:t>the 2012</w:t>
      </w:r>
      <w:r w:rsidR="009967CB">
        <w:t>–</w:t>
      </w:r>
      <w:r w:rsidRPr="00917143">
        <w:t>2014 PLS program design.</w:t>
      </w:r>
      <w:r w:rsidR="009967CB">
        <w:t xml:space="preserve"> </w:t>
      </w:r>
      <w:r>
        <w:t xml:space="preserve"> On July 30, 2012, the </w:t>
      </w:r>
      <w:r w:rsidR="00092BFE">
        <w:t>u</w:t>
      </w:r>
      <w:r>
        <w:t xml:space="preserve">tilities submitted a joint PLS program design proposal to the Commission Staff. </w:t>
      </w:r>
      <w:r w:rsidR="009967CB">
        <w:t xml:space="preserve"> </w:t>
      </w:r>
      <w:r>
        <w:t xml:space="preserve">The Commission Staff sought feedback from interested parties by facilitating a PLS Workshop that was held on September 18, 2012. </w:t>
      </w:r>
      <w:r w:rsidR="00092BFE">
        <w:t xml:space="preserve"> </w:t>
      </w:r>
      <w:r>
        <w:t xml:space="preserve">As a result of the PLS Workshop and comments received from interested parties, Energy Division (ED) provided the </w:t>
      </w:r>
      <w:r w:rsidR="00092BFE">
        <w:t>u</w:t>
      </w:r>
      <w:r>
        <w:t xml:space="preserve">tilities program design feedback on November 13, 2012. </w:t>
      </w:r>
      <w:r w:rsidR="00092BFE">
        <w:t xml:space="preserve"> </w:t>
      </w:r>
      <w:r>
        <w:t>The</w:t>
      </w:r>
      <w:r w:rsidR="009967CB">
        <w:t> </w:t>
      </w:r>
      <w:r w:rsidR="0096354E">
        <w:t>IOUs</w:t>
      </w:r>
      <w:r>
        <w:t xml:space="preserve"> incorporated ED’s feedback in their final version of the program design proposal submitted on</w:t>
      </w:r>
      <w:r w:rsidR="009967CB">
        <w:t> </w:t>
      </w:r>
      <w:r>
        <w:t>January 14, 2013.</w:t>
      </w:r>
      <w:r w:rsidR="0096354E">
        <w:t xml:space="preserve">  </w:t>
      </w:r>
      <w:r w:rsidR="00434C5C">
        <w:t xml:space="preserve">The most noteworthy ED input resulted in limiting eligibility to thermal energy storage technologies for cooling.  </w:t>
      </w:r>
      <w:r w:rsidR="0096354E" w:rsidRPr="00114C04">
        <w:t>On May 9, 2013, Resolution E-4586 adopted the PLS program rules, budget and implementation details proposed by the IOUs, with modifications.</w:t>
      </w:r>
    </w:p>
    <w:p w:rsidR="00725456" w:rsidRDefault="00725456" w:rsidP="00AC4BAA">
      <w:pPr>
        <w:pStyle w:val="BodyParagraph"/>
      </w:pPr>
    </w:p>
    <w:p w:rsidR="008A320F" w:rsidRDefault="008A320F" w:rsidP="00825E80">
      <w:pPr>
        <w:pStyle w:val="Heading2"/>
      </w:pPr>
      <w:bookmarkStart w:id="4" w:name="_Toc382926501"/>
      <w:r>
        <w:lastRenderedPageBreak/>
        <w:t>Key Considerations for P</w:t>
      </w:r>
      <w:r w:rsidR="00E466F5">
        <w:t>rogram Year</w:t>
      </w:r>
      <w:r>
        <w:t xml:space="preserve"> 2013 Load Impact Forecast</w:t>
      </w:r>
      <w:bookmarkEnd w:id="4"/>
    </w:p>
    <w:p w:rsidR="00AC4BAA" w:rsidRDefault="009E7ED6" w:rsidP="00AC4BAA">
      <w:pPr>
        <w:pStyle w:val="BodyParagraph"/>
      </w:pPr>
      <w:r>
        <w:t>As explained above, t</w:t>
      </w:r>
      <w:r w:rsidR="009A16B1">
        <w:t xml:space="preserve">here are no current </w:t>
      </w:r>
      <w:r w:rsidR="00092BFE">
        <w:t>PLS program installations</w:t>
      </w:r>
      <w:r w:rsidR="009A16B1">
        <w:t xml:space="preserve"> to produce e</w:t>
      </w:r>
      <w:r w:rsidR="0053674E">
        <w:t>x post impact estimates for 2013</w:t>
      </w:r>
      <w:r w:rsidR="009A16B1">
        <w:t xml:space="preserve"> or to use for estimating ex ante impacts.  Despite that, the </w:t>
      </w:r>
      <w:proofErr w:type="spellStart"/>
      <w:r w:rsidR="009A16B1" w:rsidRPr="008C6B2C">
        <w:t>ex ante</w:t>
      </w:r>
      <w:proofErr w:type="spellEnd"/>
      <w:r w:rsidR="009A16B1" w:rsidRPr="008C6B2C">
        <w:t xml:space="preserve"> load impact estimates </w:t>
      </w:r>
      <w:r w:rsidR="009A16B1">
        <w:t>in this document</w:t>
      </w:r>
      <w:r w:rsidR="009A16B1" w:rsidRPr="008C6B2C">
        <w:t xml:space="preserve"> conform to the timing and requirements of the</w:t>
      </w:r>
      <w:r w:rsidR="009A16B1">
        <w:t> </w:t>
      </w:r>
      <w:r w:rsidR="009A16B1" w:rsidRPr="008C6B2C">
        <w:t xml:space="preserve">CPUC </w:t>
      </w:r>
      <w:r w:rsidR="001D628D">
        <w:t xml:space="preserve">Demand Response </w:t>
      </w:r>
      <w:r w:rsidR="009A16B1" w:rsidRPr="008C6B2C">
        <w:t>Load Impact Protocols</w:t>
      </w:r>
      <w:r w:rsidR="009A16B1">
        <w:t xml:space="preserve"> for non-event based programs.</w:t>
      </w:r>
      <w:r w:rsidR="009A16B1" w:rsidRPr="008C6B2C">
        <w:rPr>
          <w:rStyle w:val="FootnoteReference"/>
          <w:rFonts w:cs="Arial"/>
        </w:rPr>
        <w:footnoteReference w:id="3"/>
      </w:r>
      <w:r w:rsidR="00CF1B0D">
        <w:t xml:space="preserve"> </w:t>
      </w:r>
      <w:r w:rsidR="00092BFE">
        <w:t xml:space="preserve"> </w:t>
      </w:r>
      <w:r w:rsidR="00CF1B0D">
        <w:t>S</w:t>
      </w:r>
      <w:r w:rsidR="00CF1B0D" w:rsidRPr="00114C04">
        <w:t>ince the program rules have been finalized and some</w:t>
      </w:r>
      <w:r w:rsidR="00CF1B0D">
        <w:t xml:space="preserve"> customer</w:t>
      </w:r>
      <w:r w:rsidR="00CF1B0D" w:rsidRPr="00114C04">
        <w:t xml:space="preserve"> feasibility studies and applications have already been submitted, the </w:t>
      </w:r>
      <w:proofErr w:type="spellStart"/>
      <w:r w:rsidR="00CF1B0D" w:rsidRPr="00114C04">
        <w:t>ex ante</w:t>
      </w:r>
      <w:proofErr w:type="spellEnd"/>
      <w:r w:rsidR="00CF1B0D" w:rsidRPr="00114C04">
        <w:t xml:space="preserve"> impact estimates rely on information in these pipeline applications to improve upon the analysis that was done for the 2012 evaluation, which necessarily relied largely on assumptions.</w:t>
      </w:r>
      <w:r w:rsidR="001D628D">
        <w:t xml:space="preserve">  Nonetheless, this year’s forecast is still uncertain </w:t>
      </w:r>
      <w:r w:rsidR="007028D9">
        <w:t xml:space="preserve">and relies </w:t>
      </w:r>
      <w:r w:rsidR="001D628D">
        <w:t>on assumptions about impacts and further enrollment in the program.  If future ex post evaluations show</w:t>
      </w:r>
      <w:r w:rsidR="007028D9">
        <w:t xml:space="preserve"> that</w:t>
      </w:r>
      <w:r w:rsidR="001D628D">
        <w:t xml:space="preserve"> the PLS</w:t>
      </w:r>
      <w:r w:rsidR="00434C5C">
        <w:t>-TES</w:t>
      </w:r>
      <w:r w:rsidR="001D628D">
        <w:t xml:space="preserve"> technology works differently than expected or if enrollment proceeds </w:t>
      </w:r>
      <w:r w:rsidR="007028D9">
        <w:t>at an unexpected pace, this forecast may not reflect the load impacts that the PLS program ultimately delivers.</w:t>
      </w:r>
      <w:r w:rsidR="000B1A1B">
        <w:t xml:space="preserve">  For example, t</w:t>
      </w:r>
      <w:r w:rsidR="00AC4BAA">
        <w:t>his</w:t>
      </w:r>
      <w:r w:rsidR="000B1A1B">
        <w:t xml:space="preserve"> forecast assumes that each utility receives a certain number of PLS </w:t>
      </w:r>
      <w:r w:rsidR="00905726">
        <w:t xml:space="preserve">program </w:t>
      </w:r>
      <w:r w:rsidR="000B1A1B">
        <w:t xml:space="preserve">applications for low, base case and high scenarios.  </w:t>
      </w:r>
      <w:r w:rsidR="00AC4BAA">
        <w:t>However,</w:t>
      </w:r>
      <w:r w:rsidR="00AC4BAA" w:rsidRPr="00572BFF">
        <w:t xml:space="preserve"> these assumptions </w:t>
      </w:r>
      <w:r w:rsidR="00434C5C">
        <w:t>carry</w:t>
      </w:r>
      <w:r w:rsidR="00AC4BAA" w:rsidRPr="00572BFF">
        <w:t xml:space="preserve"> a high degree of uncertainty because projecting uptake of any utility program is inherently uncertain</w:t>
      </w:r>
      <w:r w:rsidR="00AC4BAA">
        <w:t xml:space="preserve">.  </w:t>
      </w:r>
      <w:r w:rsidR="00AC4BAA" w:rsidRPr="00572BFF">
        <w:t>This uncertainty is compounded here by the fairly high</w:t>
      </w:r>
      <w:r w:rsidR="00434C5C">
        <w:t xml:space="preserve"> initial capital</w:t>
      </w:r>
      <w:r w:rsidR="00AC4BAA" w:rsidRPr="00572BFF">
        <w:t xml:space="preserve"> investment and custom</w:t>
      </w:r>
      <w:r w:rsidR="00AC4BAA">
        <w:t xml:space="preserve"> nature of each installation.  </w:t>
      </w:r>
      <w:r w:rsidR="0034704D">
        <w:t>T</w:t>
      </w:r>
      <w:r w:rsidR="00AC4BAA">
        <w:t>he actual number of applications that each utility receives could be quite different than these projections.</w:t>
      </w:r>
    </w:p>
    <w:p w:rsidR="00434C5C" w:rsidRDefault="00ED0FDB" w:rsidP="00E466F5">
      <w:r>
        <w:t xml:space="preserve">Finally, </w:t>
      </w:r>
      <w:r w:rsidR="00AC4BAA">
        <w:t>there is additional uncertainty r</w:t>
      </w:r>
      <w:r w:rsidR="0034704D">
        <w:t xml:space="preserve">egarding future funding for </w:t>
      </w:r>
      <w:r w:rsidR="00AC4BAA">
        <w:t>PLS</w:t>
      </w:r>
      <w:r w:rsidR="00905726">
        <w:t xml:space="preserve"> program</w:t>
      </w:r>
      <w:r w:rsidR="00AC4BAA">
        <w:t xml:space="preserve"> </w:t>
      </w:r>
      <w:r w:rsidR="0034704D">
        <w:t>incentives</w:t>
      </w:r>
      <w:r w:rsidR="00AC4BAA">
        <w:t xml:space="preserve">.  </w:t>
      </w:r>
      <w:r w:rsidR="0034704D">
        <w:t>A key input for t</w:t>
      </w:r>
      <w:r w:rsidR="00F95B60">
        <w:t>he forecast of PLS</w:t>
      </w:r>
      <w:r w:rsidR="00905726">
        <w:t xml:space="preserve"> program</w:t>
      </w:r>
      <w:r w:rsidR="00F95B60">
        <w:t xml:space="preserve"> installations </w:t>
      </w:r>
      <w:r w:rsidR="0034704D">
        <w:t xml:space="preserve">is </w:t>
      </w:r>
      <w:r w:rsidR="00F95B60">
        <w:t xml:space="preserve">the </w:t>
      </w:r>
      <w:r w:rsidR="0034704D">
        <w:t xml:space="preserve">percent of the </w:t>
      </w:r>
      <w:r w:rsidR="00905726">
        <w:t>program</w:t>
      </w:r>
      <w:r w:rsidR="0034704D">
        <w:t xml:space="preserve"> incentive</w:t>
      </w:r>
      <w:r w:rsidR="00F95B60">
        <w:t xml:space="preserve"> budget that is expected to be committed before funding expires.</w:t>
      </w:r>
      <w:r w:rsidR="0034704D">
        <w:t xml:space="preserve"> </w:t>
      </w:r>
      <w:r w:rsidR="00E466F5">
        <w:t xml:space="preserve"> </w:t>
      </w:r>
      <w:r w:rsidR="00434C5C">
        <w:t>All three IOUs have filed requests that any uncommitted 2012-2014 incentive budget be included in the bridge funding that will extend the expiration of those funds until the end of 2016.  However, this request has not yet been approved.  Therefore, for PG&amp;E and SCE, this evaluation will only consider installations that had incentives reserved or funded by the end of the 2012-2014 program cycle.  SDG&amp;E, on the other hand, assumes that the installations in this evaluation can be supported by the uncommitted 2012-2014 incentive budget that may get rolled into the 2015-2016 bridge cycle.</w:t>
      </w:r>
    </w:p>
    <w:p w:rsidR="00B65BD4" w:rsidRDefault="009A16B1" w:rsidP="009A16B1">
      <w:pPr>
        <w:pStyle w:val="BodyParagraph"/>
      </w:pPr>
      <w:r>
        <w:t xml:space="preserve">The current PLS program design specifies a set of measured </w:t>
      </w:r>
      <w:r w:rsidR="00603A0B">
        <w:t>data</w:t>
      </w:r>
      <w:r>
        <w:t xml:space="preserve"> to be collected from participants to </w:t>
      </w:r>
      <w:r w:rsidR="002C604A">
        <w:t xml:space="preserve">optimize TES system performance and </w:t>
      </w:r>
      <w:r>
        <w:t xml:space="preserve">enable load impact evaluation.  In future years, these measurements will be the basis for the ex post and ex ante impact evaluations; although how to collect the data beyond the current program cycle </w:t>
      </w:r>
      <w:r w:rsidR="002C604A">
        <w:t>is a question still being addressed</w:t>
      </w:r>
      <w:r>
        <w:t>.  The basis for ex ante impact estimation for this evaluation is simpler, and relies primarily on estimates from program managers and evaluation, measurement and verification (EM&amp;V) staff</w:t>
      </w:r>
      <w:r w:rsidR="005E4546">
        <w:t>,</w:t>
      </w:r>
      <w:r>
        <w:t xml:space="preserve"> combined with knowledge of th</w:t>
      </w:r>
      <w:r w:rsidR="0096354E">
        <w:t>e propos</w:t>
      </w:r>
      <w:r w:rsidR="005E4546">
        <w:t>ed rules of the program and building</w:t>
      </w:r>
      <w:r w:rsidR="0096354E">
        <w:t xml:space="preserve"> simulation modeling.</w:t>
      </w:r>
      <w:r w:rsidR="00C0654D">
        <w:t xml:space="preserve">  As the PLS program evolves and actual PLS</w:t>
      </w:r>
      <w:r w:rsidR="002C604A">
        <w:t>-TES</w:t>
      </w:r>
      <w:r w:rsidR="00C0654D">
        <w:t xml:space="preserve"> installations come online over the next few years, evaluators will gradually phase out the assumptions-driven approach and transition to a data-driven approach, which will reduce the uncertainty of future ex ante load impact estimates.</w:t>
      </w:r>
    </w:p>
    <w:p w:rsidR="009A16B1" w:rsidRDefault="009A16B1" w:rsidP="009A16B1">
      <w:pPr>
        <w:pStyle w:val="Heading2"/>
        <w:ind w:left="720" w:hanging="720"/>
      </w:pPr>
      <w:bookmarkStart w:id="5" w:name="_Toc352168937"/>
      <w:bookmarkStart w:id="6" w:name="_Toc382926502"/>
      <w:r>
        <w:lastRenderedPageBreak/>
        <w:t>Program Overview</w:t>
      </w:r>
      <w:bookmarkEnd w:id="5"/>
      <w:bookmarkEnd w:id="6"/>
    </w:p>
    <w:p w:rsidR="009A16B1" w:rsidRDefault="00DD6B86" w:rsidP="009A16B1">
      <w:pPr>
        <w:pStyle w:val="BodyParagraph"/>
      </w:pPr>
      <w:r>
        <w:t>The</w:t>
      </w:r>
      <w:r w:rsidR="00B87B25">
        <w:t xml:space="preserve"> PLS program </w:t>
      </w:r>
      <w:r w:rsidR="009A16B1">
        <w:t>provide</w:t>
      </w:r>
      <w:r w:rsidR="00B87B25">
        <w:t>s</w:t>
      </w:r>
      <w:r w:rsidR="009A16B1">
        <w:t xml:space="preserve"> a one-time incentive payment</w:t>
      </w:r>
      <w:r w:rsidR="00B87B25">
        <w:t xml:space="preserve"> ($875/kW</w:t>
      </w:r>
      <w:r w:rsidR="002C604A">
        <w:t xml:space="preserve"> shifted</w:t>
      </w:r>
      <w:r w:rsidR="00B87B25">
        <w:t>)</w:t>
      </w:r>
      <w:r w:rsidR="009A16B1">
        <w:t xml:space="preserve"> to customers who install qualifying PLS</w:t>
      </w:r>
      <w:r w:rsidR="002C604A">
        <w:t>-TES</w:t>
      </w:r>
      <w:r w:rsidR="009A16B1">
        <w:t xml:space="preserve"> technology on </w:t>
      </w:r>
      <w:r w:rsidR="002C604A">
        <w:t>typical central air conditioning units or process cooling equipment</w:t>
      </w:r>
      <w:r w:rsidR="00B87B25">
        <w:t xml:space="preserve">.  Incentives </w:t>
      </w:r>
      <w:r w:rsidR="001E6E62">
        <w:t>are</w:t>
      </w:r>
      <w:r w:rsidR="00B87B25">
        <w:t xml:space="preserve"> determined based on the designed load shift capability of the system and the </w:t>
      </w:r>
      <w:r w:rsidR="002C604A">
        <w:t>project</w:t>
      </w:r>
      <w:r w:rsidR="00B87B25">
        <w:t xml:space="preserve"> must undergo a feasibility study </w:t>
      </w:r>
      <w:r w:rsidR="002C604A">
        <w:t xml:space="preserve">prepared </w:t>
      </w:r>
      <w:r w:rsidR="00B87B25">
        <w:t xml:space="preserve">by a </w:t>
      </w:r>
      <w:r w:rsidR="002C604A">
        <w:t>licensed</w:t>
      </w:r>
      <w:r w:rsidR="00B87B25">
        <w:t xml:space="preserve"> engineer.  </w:t>
      </w:r>
      <w:r w:rsidR="002C604A">
        <w:t>The load shift is typically accomplished through shifting of daytime chiller load to overnight hours.  All electric customers on time-of-use electricity rates are eligible for the program, including residential, commercial, industrial, agricultural, direct access and Community Choice Aggregation customers.</w:t>
      </w:r>
    </w:p>
    <w:p w:rsidR="00BE274D" w:rsidRDefault="00BE274D" w:rsidP="00BE274D">
      <w:pPr>
        <w:pStyle w:val="BodyBeforeBullet"/>
      </w:pPr>
      <w:r>
        <w:t>To qualify for the PLS</w:t>
      </w:r>
      <w:r w:rsidR="00905726">
        <w:t xml:space="preserve"> program</w:t>
      </w:r>
      <w:r>
        <w:t xml:space="preserve"> incentive payment, customers must go through the </w:t>
      </w:r>
      <w:r w:rsidR="00905726">
        <w:t>program</w:t>
      </w:r>
      <w:r>
        <w:t xml:space="preserve"> application</w:t>
      </w:r>
      <w:r w:rsidR="002C604A">
        <w:t>, approval</w:t>
      </w:r>
      <w:r>
        <w:t xml:space="preserve"> and verification process, which includes</w:t>
      </w:r>
      <w:r w:rsidRPr="00BE274D">
        <w:t xml:space="preserve"> all of the stages that are required for customers to apply for</w:t>
      </w:r>
      <w:r w:rsidR="00905726">
        <w:t>,</w:t>
      </w:r>
      <w:r w:rsidRPr="00BE274D">
        <w:t xml:space="preserve"> and receive a verified incentive amount.</w:t>
      </w:r>
      <w:r>
        <w:t xml:space="preserve">  These stages are:</w:t>
      </w:r>
    </w:p>
    <w:p w:rsidR="00BE274D" w:rsidRDefault="00BE274D" w:rsidP="00BE274D">
      <w:pPr>
        <w:pStyle w:val="Bullets"/>
        <w:numPr>
          <w:ilvl w:val="0"/>
          <w:numId w:val="14"/>
        </w:numPr>
      </w:pPr>
      <w:r>
        <w:t xml:space="preserve">Customer submits </w:t>
      </w:r>
      <w:r w:rsidR="002B16D8">
        <w:t xml:space="preserve">complete </w:t>
      </w:r>
      <w:r>
        <w:t>application</w:t>
      </w:r>
    </w:p>
    <w:p w:rsidR="00BE274D" w:rsidRDefault="00BE274D" w:rsidP="00BE274D">
      <w:pPr>
        <w:pStyle w:val="Bullets"/>
        <w:numPr>
          <w:ilvl w:val="0"/>
          <w:numId w:val="14"/>
        </w:numPr>
      </w:pPr>
      <w:r>
        <w:t>Customer submits feasibility study</w:t>
      </w:r>
    </w:p>
    <w:p w:rsidR="00BE274D" w:rsidRDefault="00BE274D" w:rsidP="00BE274D">
      <w:pPr>
        <w:pStyle w:val="Bullets"/>
        <w:numPr>
          <w:ilvl w:val="0"/>
          <w:numId w:val="14"/>
        </w:numPr>
      </w:pPr>
      <w:r>
        <w:t>IOU reviews feasibility study</w:t>
      </w:r>
      <w:r w:rsidR="002B16D8">
        <w:t xml:space="preserve"> and approves application</w:t>
      </w:r>
    </w:p>
    <w:p w:rsidR="00BE274D" w:rsidRDefault="00BE274D" w:rsidP="002B16D8">
      <w:pPr>
        <w:pStyle w:val="Bullets"/>
        <w:numPr>
          <w:ilvl w:val="0"/>
          <w:numId w:val="14"/>
        </w:numPr>
      </w:pPr>
      <w:r>
        <w:t>IOU conducts pre-installation inspection</w:t>
      </w:r>
      <w:r w:rsidR="002B16D8" w:rsidRPr="002B16D8">
        <w:t xml:space="preserve"> and sets aside incentive funds</w:t>
      </w:r>
    </w:p>
    <w:p w:rsidR="00BE274D" w:rsidRDefault="00BE274D" w:rsidP="00BE274D">
      <w:pPr>
        <w:pStyle w:val="Bullets"/>
        <w:numPr>
          <w:ilvl w:val="0"/>
          <w:numId w:val="14"/>
        </w:numPr>
      </w:pPr>
      <w:r>
        <w:t>IOU and customer sign agreement</w:t>
      </w:r>
      <w:r w:rsidR="002B16D8">
        <w:t xml:space="preserve"> (SCE only)</w:t>
      </w:r>
    </w:p>
    <w:p w:rsidR="00BE274D" w:rsidRDefault="00BE274D" w:rsidP="00BE274D">
      <w:pPr>
        <w:pStyle w:val="Bullets"/>
        <w:numPr>
          <w:ilvl w:val="0"/>
          <w:numId w:val="14"/>
        </w:numPr>
      </w:pPr>
      <w:r>
        <w:t>Customer</w:t>
      </w:r>
      <w:r w:rsidR="00CB27F8">
        <w:t xml:space="preserve"> submits project design and</w:t>
      </w:r>
      <w:r>
        <w:t xml:space="preserve"> installs PLS</w:t>
      </w:r>
      <w:r w:rsidR="00CB27F8">
        <w:t>-TES</w:t>
      </w:r>
      <w:r>
        <w:t xml:space="preserve"> system</w:t>
      </w:r>
    </w:p>
    <w:p w:rsidR="00CB27F8" w:rsidRDefault="00CB27F8" w:rsidP="00BE274D">
      <w:pPr>
        <w:pStyle w:val="Bullets"/>
        <w:numPr>
          <w:ilvl w:val="0"/>
          <w:numId w:val="14"/>
        </w:numPr>
      </w:pPr>
      <w:r>
        <w:t>Customer submits commissioning report</w:t>
      </w:r>
    </w:p>
    <w:p w:rsidR="00CB27F8" w:rsidRDefault="00CB27F8" w:rsidP="00CB27F8">
      <w:pPr>
        <w:pStyle w:val="ListParagraph"/>
        <w:numPr>
          <w:ilvl w:val="0"/>
          <w:numId w:val="14"/>
        </w:numPr>
        <w:rPr>
          <w:rFonts w:eastAsia="Times New Roman" w:cs="Arial"/>
          <w:szCs w:val="21"/>
        </w:rPr>
      </w:pPr>
      <w:r w:rsidRPr="00CB27F8">
        <w:rPr>
          <w:rFonts w:eastAsia="Times New Roman" w:cs="Arial"/>
          <w:szCs w:val="21"/>
        </w:rPr>
        <w:t>I</w:t>
      </w:r>
      <w:r w:rsidR="00BC6370">
        <w:rPr>
          <w:rFonts w:eastAsia="Times New Roman" w:cs="Arial"/>
          <w:szCs w:val="21"/>
        </w:rPr>
        <w:t>OU reviews commissioning report and</w:t>
      </w:r>
      <w:r w:rsidRPr="00CB27F8">
        <w:rPr>
          <w:rFonts w:eastAsia="Times New Roman" w:cs="Arial"/>
          <w:szCs w:val="21"/>
        </w:rPr>
        <w:t xml:space="preserve"> conducts post-installation inspection, tests and cost verifications</w:t>
      </w:r>
    </w:p>
    <w:p w:rsidR="00BE274D" w:rsidRPr="00CB27F8" w:rsidRDefault="00BE274D" w:rsidP="00CB27F8">
      <w:pPr>
        <w:pStyle w:val="ListParagraph"/>
        <w:numPr>
          <w:ilvl w:val="0"/>
          <w:numId w:val="14"/>
        </w:numPr>
        <w:rPr>
          <w:rFonts w:eastAsia="Times New Roman" w:cs="Arial"/>
          <w:szCs w:val="21"/>
        </w:rPr>
      </w:pPr>
      <w:r>
        <w:t xml:space="preserve">Customer receives </w:t>
      </w:r>
      <w:r w:rsidR="00CB27F8">
        <w:t xml:space="preserve">final </w:t>
      </w:r>
      <w:r>
        <w:t>PLS</w:t>
      </w:r>
      <w:r w:rsidR="00905726">
        <w:t xml:space="preserve"> program</w:t>
      </w:r>
      <w:r>
        <w:t xml:space="preserve"> incentive</w:t>
      </w:r>
    </w:p>
    <w:p w:rsidR="005E450D" w:rsidRPr="00013AC5" w:rsidRDefault="002C604A" w:rsidP="005E450D">
      <w:pPr>
        <w:pStyle w:val="BodyParagraph"/>
      </w:pPr>
      <w:r>
        <w:t xml:space="preserve">After a customer submits an application, customers participating in the program must provide, in advance of installation, a feasibility study prepared by a licensed engineer.  </w:t>
      </w:r>
      <w:r w:rsidR="001E6E62">
        <w:t>This study must</w:t>
      </w:r>
      <w:r w:rsidR="005E450D">
        <w:t xml:space="preserve"> include an estimated cooling profile.  </w:t>
      </w:r>
      <w:r w:rsidR="005E450D" w:rsidRPr="00013AC5">
        <w:t xml:space="preserve">Energy models </w:t>
      </w:r>
      <w:r w:rsidR="001E6E62">
        <w:t>should</w:t>
      </w:r>
      <w:r w:rsidR="005E450D" w:rsidRPr="00013AC5">
        <w:t xml:space="preserve"> be used to determine a customer's cooling load profile over a year (8,760 hours).  </w:t>
      </w:r>
      <w:r w:rsidR="005E450D">
        <w:t xml:space="preserve">To accomplish this, building simulation models </w:t>
      </w:r>
      <w:r w:rsidR="001E6E62">
        <w:t>should</w:t>
      </w:r>
      <w:r w:rsidR="005E450D">
        <w:t xml:space="preserve"> be used to determine hourly cooling needs over the course of a year, based on building specifications, regional temperatures, occupancy and other inputs.  </w:t>
      </w:r>
      <w:r w:rsidR="005E450D" w:rsidRPr="001930A9">
        <w:t>Both retrofit and new construction customers will be subjected to the energy modeling process</w:t>
      </w:r>
      <w:r w:rsidR="004F198A">
        <w:t>,</w:t>
      </w:r>
      <w:r w:rsidR="005E450D" w:rsidRPr="001930A9">
        <w:t xml:space="preserve"> unless utility ap</w:t>
      </w:r>
      <w:r w:rsidR="004F198A">
        <w:t>proved cooling usage data is available.</w:t>
      </w:r>
    </w:p>
    <w:p w:rsidR="005E450D" w:rsidRDefault="005E450D" w:rsidP="005E450D">
      <w:pPr>
        <w:pStyle w:val="BodyParagraph"/>
      </w:pPr>
      <w:r>
        <w:t xml:space="preserve">The </w:t>
      </w:r>
      <w:r w:rsidR="004F198A">
        <w:t xml:space="preserve">total </w:t>
      </w:r>
      <w:r>
        <w:t>incentive</w:t>
      </w:r>
      <w:r w:rsidR="004F198A">
        <w:t xml:space="preserve"> amount</w:t>
      </w:r>
      <w:r>
        <w:t xml:space="preserve"> will be determined using a customer’s peak load shift on their maximum cooling demand day (based on the on-peak hours).  </w:t>
      </w:r>
      <w:r w:rsidRPr="00013AC5">
        <w:t xml:space="preserve">A conversion factor will be used to convert the cooling load shift tons to electricity load shift (kW). </w:t>
      </w:r>
      <w:r>
        <w:t xml:space="preserve"> </w:t>
      </w:r>
      <w:r w:rsidRPr="00013AC5">
        <w:t xml:space="preserve">This methodology will be </w:t>
      </w:r>
      <w:r>
        <w:t>used</w:t>
      </w:r>
      <w:r w:rsidRPr="00013AC5">
        <w:t xml:space="preserve"> for both full and partial storage systems.</w:t>
      </w:r>
      <w:r>
        <w:t xml:space="preserve"> </w:t>
      </w:r>
      <w:r w:rsidR="004F198A">
        <w:t xml:space="preserve"> </w:t>
      </w:r>
      <w:r>
        <w:t xml:space="preserve">The incentive levels for the program are $875/kW for all IOUs.  </w:t>
      </w:r>
    </w:p>
    <w:p w:rsidR="005E450D" w:rsidRDefault="005E450D" w:rsidP="005E450D">
      <w:pPr>
        <w:pStyle w:val="BodyParagraph"/>
      </w:pPr>
      <w:r>
        <w:t xml:space="preserve">The incentive payments are intended to offset the cost of installation and thereby make the system more attractive financially.  </w:t>
      </w:r>
      <w:r w:rsidR="002C604A">
        <w:t xml:space="preserve">Under the program rules, the incentive cannot exceed 50% of the </w:t>
      </w:r>
      <w:r w:rsidR="001E6E62">
        <w:t>total project cost</w:t>
      </w:r>
      <w:r w:rsidR="002C604A">
        <w:t>, and the incentive for a customer cannot exceed $1.5 million</w:t>
      </w:r>
      <w:r>
        <w:t xml:space="preserve">.  Customers’ incentives will be determined as the least of (1) the incentive reservation amount calculated from the </w:t>
      </w:r>
      <w:r w:rsidR="002C604A">
        <w:t xml:space="preserve">approved feasibility study </w:t>
      </w:r>
      <w:r w:rsidR="001E6E62">
        <w:t>and post-installation approval</w:t>
      </w:r>
      <w:r w:rsidR="009967CB">
        <w:t>;</w:t>
      </w:r>
      <w:r>
        <w:t xml:space="preserve"> (2) 50% of the actual final installed project cost</w:t>
      </w:r>
      <w:r w:rsidR="009967CB">
        <w:t>;</w:t>
      </w:r>
      <w:r w:rsidR="002C604A">
        <w:t xml:space="preserve"> or (3) $1.5 million</w:t>
      </w:r>
      <w:r>
        <w:t xml:space="preserve">.  </w:t>
      </w:r>
      <w:r w:rsidR="002C604A">
        <w:lastRenderedPageBreak/>
        <w:t>In addition, customers will be required to be on a time-of-use rate</w:t>
      </w:r>
      <w:r w:rsidR="001E6E62">
        <w:t xml:space="preserve"> and provide trend data to the IOU’s about their TES system</w:t>
      </w:r>
      <w:r w:rsidR="002C604A">
        <w:t xml:space="preserve"> for the first five years after installation.  In the participation component of the program, customers are required to run their TES system on summer weekdays for five years after installation and submit monitored system data to the IOU.  The systems are expected to have a lifetime of about 20 years.</w:t>
      </w:r>
    </w:p>
    <w:p w:rsidR="005E450D" w:rsidRDefault="005E450D" w:rsidP="005E450D">
      <w:pPr>
        <w:pStyle w:val="BodyParagraph"/>
      </w:pPr>
      <w:r>
        <w:t>The incentive budgets are $13.5</w:t>
      </w:r>
      <w:r w:rsidR="004F198A">
        <w:t xml:space="preserve"> million</w:t>
      </w:r>
      <w:r>
        <w:t xml:space="preserve"> for PG&amp;E, $12.7</w:t>
      </w:r>
      <w:r w:rsidR="004F198A">
        <w:t xml:space="preserve"> million</w:t>
      </w:r>
      <w:r>
        <w:t xml:space="preserve"> for SCE an</w:t>
      </w:r>
      <w:r w:rsidR="004F198A">
        <w:t>d $3 million</w:t>
      </w:r>
      <w:r>
        <w:t xml:space="preserve"> for SDG&amp;E.  </w:t>
      </w:r>
      <w:r w:rsidR="001E6E62">
        <w:t>A</w:t>
      </w:r>
      <w:r w:rsidR="002C604A">
        <w:t xml:space="preserve">t a minimum, </w:t>
      </w:r>
      <w:r w:rsidR="001E6E62">
        <w:t xml:space="preserve">these incentive budgets provide </w:t>
      </w:r>
      <w:r w:rsidR="002C604A">
        <w:t>an expected upper limit on the amount of peak period shifting that the program could ultimately provide as a result of funding during this program cycle.</w:t>
      </w:r>
    </w:p>
    <w:p w:rsidR="00956D00" w:rsidRDefault="00956D00" w:rsidP="00956D00">
      <w:pPr>
        <w:pStyle w:val="BodyParagraph"/>
      </w:pPr>
      <w:r>
        <w:t>Customers are required to shift load by running the TES system on weekdays during summer months, which are defined slightly differently for each utility.  Table 1-1 shows the On peak periods and summer months for each utility, as approved in the Statewide PLS Program Proposal.</w:t>
      </w:r>
      <w:r>
        <w:rPr>
          <w:rStyle w:val="FootnoteReference"/>
        </w:rPr>
        <w:footnoteReference w:id="4"/>
      </w:r>
      <w:r>
        <w:t xml:space="preserve">  PLS program participants are encouraged to shift load during non-summer months to maximize their energy bill savings</w:t>
      </w:r>
      <w:r w:rsidR="00BC6EC4">
        <w:t>.</w:t>
      </w:r>
    </w:p>
    <w:p w:rsidR="005E450D" w:rsidRPr="0054176E" w:rsidRDefault="005E450D" w:rsidP="00723336">
      <w:pPr>
        <w:pStyle w:val="TableFigureCaption"/>
      </w:pPr>
      <w:r w:rsidRPr="0054176E">
        <w:t xml:space="preserve">Table 1-1 </w:t>
      </w:r>
      <w:r w:rsidR="00956D00">
        <w:t>On-p</w:t>
      </w:r>
      <w:r w:rsidRPr="0054176E">
        <w:t>eak Periods for Each Utility</w:t>
      </w:r>
    </w:p>
    <w:tbl>
      <w:tblPr>
        <w:tblW w:w="4420" w:type="dxa"/>
        <w:jc w:val="center"/>
        <w:tblLook w:val="04A0" w:firstRow="1" w:lastRow="0" w:firstColumn="1" w:lastColumn="0" w:noHBand="0" w:noVBand="1"/>
      </w:tblPr>
      <w:tblGrid>
        <w:gridCol w:w="847"/>
        <w:gridCol w:w="2043"/>
        <w:gridCol w:w="1530"/>
      </w:tblGrid>
      <w:tr w:rsidR="00723336" w:rsidRPr="00723336" w:rsidTr="0002323C">
        <w:trPr>
          <w:trHeight w:val="510"/>
          <w:jc w:val="center"/>
        </w:trPr>
        <w:tc>
          <w:tcPr>
            <w:tcW w:w="847" w:type="dxa"/>
            <w:tcBorders>
              <w:top w:val="single" w:sz="4" w:space="0" w:color="000000"/>
              <w:left w:val="single" w:sz="4" w:space="0" w:color="000000"/>
              <w:bottom w:val="single" w:sz="4" w:space="0" w:color="000000"/>
              <w:right w:val="single" w:sz="4" w:space="0" w:color="FFFFFF"/>
            </w:tcBorders>
            <w:shd w:val="clear" w:color="000000" w:fill="1F497D" w:themeFill="text2"/>
            <w:vAlign w:val="center"/>
            <w:hideMark/>
          </w:tcPr>
          <w:p w:rsidR="00723336" w:rsidRPr="00723336" w:rsidRDefault="00723336" w:rsidP="0002323C">
            <w:pPr>
              <w:pStyle w:val="TableHeader"/>
              <w:rPr>
                <w:rFonts w:eastAsia="Times New Roman"/>
              </w:rPr>
            </w:pPr>
            <w:r w:rsidRPr="00723336">
              <w:rPr>
                <w:rFonts w:eastAsia="Times New Roman"/>
              </w:rPr>
              <w:t>Utility</w:t>
            </w:r>
          </w:p>
        </w:tc>
        <w:tc>
          <w:tcPr>
            <w:tcW w:w="2043" w:type="dxa"/>
            <w:tcBorders>
              <w:top w:val="single" w:sz="4" w:space="0" w:color="000000"/>
              <w:left w:val="nil"/>
              <w:bottom w:val="single" w:sz="4" w:space="0" w:color="000000"/>
              <w:right w:val="single" w:sz="4" w:space="0" w:color="FFFFFF"/>
            </w:tcBorders>
            <w:shd w:val="clear" w:color="000000" w:fill="1F497D" w:themeFill="text2"/>
            <w:vAlign w:val="center"/>
            <w:hideMark/>
          </w:tcPr>
          <w:p w:rsidR="00723336" w:rsidRPr="00723336" w:rsidRDefault="00723336" w:rsidP="0002323C">
            <w:pPr>
              <w:pStyle w:val="TableHeader"/>
              <w:rPr>
                <w:rFonts w:eastAsia="Times New Roman"/>
              </w:rPr>
            </w:pPr>
            <w:r w:rsidRPr="00723336">
              <w:rPr>
                <w:rFonts w:eastAsia="Times New Roman"/>
              </w:rPr>
              <w:t>Summer Months</w:t>
            </w:r>
          </w:p>
        </w:tc>
        <w:tc>
          <w:tcPr>
            <w:tcW w:w="1530" w:type="dxa"/>
            <w:tcBorders>
              <w:top w:val="single" w:sz="4" w:space="0" w:color="000000"/>
              <w:left w:val="nil"/>
              <w:bottom w:val="single" w:sz="4" w:space="0" w:color="000000"/>
              <w:right w:val="single" w:sz="4" w:space="0" w:color="000000"/>
            </w:tcBorders>
            <w:shd w:val="clear" w:color="000000" w:fill="1F497D" w:themeFill="text2"/>
            <w:vAlign w:val="center"/>
            <w:hideMark/>
          </w:tcPr>
          <w:p w:rsidR="00723336" w:rsidRPr="00723336" w:rsidRDefault="00956D00" w:rsidP="00956D00">
            <w:pPr>
              <w:pStyle w:val="TableHeader"/>
              <w:rPr>
                <w:rFonts w:eastAsia="Times New Roman"/>
              </w:rPr>
            </w:pPr>
            <w:r>
              <w:rPr>
                <w:rFonts w:eastAsia="Times New Roman"/>
              </w:rPr>
              <w:t>On-p</w:t>
            </w:r>
            <w:r w:rsidR="00723336" w:rsidRPr="00723336">
              <w:rPr>
                <w:rFonts w:eastAsia="Times New Roman"/>
              </w:rPr>
              <w:t>eak Hours</w:t>
            </w:r>
          </w:p>
        </w:tc>
      </w:tr>
      <w:tr w:rsidR="00723336" w:rsidRPr="00723336" w:rsidTr="0002323C">
        <w:trPr>
          <w:trHeight w:val="300"/>
          <w:jc w:val="center"/>
        </w:trPr>
        <w:tc>
          <w:tcPr>
            <w:tcW w:w="847" w:type="dxa"/>
            <w:tcBorders>
              <w:top w:val="nil"/>
              <w:left w:val="single" w:sz="4" w:space="0" w:color="000000"/>
              <w:bottom w:val="single" w:sz="4" w:space="0" w:color="000000"/>
              <w:right w:val="single" w:sz="4" w:space="0" w:color="000000"/>
            </w:tcBorders>
            <w:shd w:val="clear" w:color="auto" w:fill="auto"/>
            <w:noWrap/>
            <w:vAlign w:val="center"/>
            <w:hideMark/>
          </w:tcPr>
          <w:p w:rsidR="00723336" w:rsidRPr="00723336" w:rsidRDefault="00723336" w:rsidP="0002323C">
            <w:pPr>
              <w:pStyle w:val="TableText"/>
              <w:rPr>
                <w:rFonts w:eastAsia="Times New Roman"/>
              </w:rPr>
            </w:pPr>
            <w:r w:rsidRPr="00723336">
              <w:rPr>
                <w:rFonts w:eastAsia="Times New Roman"/>
              </w:rPr>
              <w:t>PG&amp;E</w:t>
            </w:r>
          </w:p>
        </w:tc>
        <w:tc>
          <w:tcPr>
            <w:tcW w:w="2043" w:type="dxa"/>
            <w:tcBorders>
              <w:top w:val="nil"/>
              <w:left w:val="nil"/>
              <w:bottom w:val="single" w:sz="4" w:space="0" w:color="000000"/>
              <w:right w:val="single" w:sz="4" w:space="0" w:color="000000"/>
            </w:tcBorders>
            <w:shd w:val="clear" w:color="auto" w:fill="auto"/>
            <w:noWrap/>
            <w:vAlign w:val="center"/>
            <w:hideMark/>
          </w:tcPr>
          <w:p w:rsidR="00723336" w:rsidRPr="00723336" w:rsidRDefault="00723336" w:rsidP="0002323C">
            <w:pPr>
              <w:pStyle w:val="TableText"/>
              <w:rPr>
                <w:rFonts w:eastAsia="Times New Roman"/>
              </w:rPr>
            </w:pPr>
            <w:r w:rsidRPr="00723336">
              <w:rPr>
                <w:rFonts w:eastAsia="Times New Roman"/>
              </w:rPr>
              <w:t>May 1</w:t>
            </w:r>
            <w:r w:rsidR="009967CB">
              <w:t>–</w:t>
            </w:r>
            <w:r w:rsidRPr="00723336">
              <w:rPr>
                <w:rFonts w:eastAsia="Times New Roman"/>
              </w:rPr>
              <w:t>October 31</w:t>
            </w:r>
          </w:p>
        </w:tc>
        <w:tc>
          <w:tcPr>
            <w:tcW w:w="1530" w:type="dxa"/>
            <w:tcBorders>
              <w:top w:val="nil"/>
              <w:left w:val="nil"/>
              <w:bottom w:val="single" w:sz="4" w:space="0" w:color="000000"/>
              <w:right w:val="single" w:sz="4" w:space="0" w:color="000000"/>
            </w:tcBorders>
            <w:shd w:val="clear" w:color="auto" w:fill="auto"/>
            <w:noWrap/>
            <w:vAlign w:val="center"/>
            <w:hideMark/>
          </w:tcPr>
          <w:p w:rsidR="00723336" w:rsidRPr="00723336" w:rsidRDefault="00723336" w:rsidP="0002323C">
            <w:pPr>
              <w:pStyle w:val="TableText"/>
              <w:rPr>
                <w:rFonts w:eastAsia="Times New Roman"/>
              </w:rPr>
            </w:pPr>
            <w:r w:rsidRPr="00723336">
              <w:rPr>
                <w:rFonts w:eastAsia="Times New Roman"/>
              </w:rPr>
              <w:t>12</w:t>
            </w:r>
            <w:r w:rsidR="009967CB">
              <w:t>–</w:t>
            </w:r>
            <w:r w:rsidRPr="00723336">
              <w:rPr>
                <w:rFonts w:eastAsia="Times New Roman"/>
              </w:rPr>
              <w:t>6 PM</w:t>
            </w:r>
          </w:p>
        </w:tc>
      </w:tr>
      <w:tr w:rsidR="00723336" w:rsidRPr="00723336" w:rsidTr="0002323C">
        <w:trPr>
          <w:trHeight w:val="300"/>
          <w:jc w:val="center"/>
        </w:trPr>
        <w:tc>
          <w:tcPr>
            <w:tcW w:w="847" w:type="dxa"/>
            <w:tcBorders>
              <w:top w:val="nil"/>
              <w:left w:val="single" w:sz="4" w:space="0" w:color="000000"/>
              <w:bottom w:val="single" w:sz="4" w:space="0" w:color="000000"/>
              <w:right w:val="single" w:sz="4" w:space="0" w:color="000000"/>
            </w:tcBorders>
            <w:shd w:val="clear" w:color="auto" w:fill="auto"/>
            <w:noWrap/>
            <w:vAlign w:val="center"/>
            <w:hideMark/>
          </w:tcPr>
          <w:p w:rsidR="00723336" w:rsidRPr="00723336" w:rsidRDefault="00723336" w:rsidP="0002323C">
            <w:pPr>
              <w:pStyle w:val="TableText"/>
              <w:rPr>
                <w:rFonts w:eastAsia="Times New Roman"/>
              </w:rPr>
            </w:pPr>
            <w:r w:rsidRPr="00723336">
              <w:rPr>
                <w:rFonts w:eastAsia="Times New Roman"/>
              </w:rPr>
              <w:t>SCE</w:t>
            </w:r>
          </w:p>
        </w:tc>
        <w:tc>
          <w:tcPr>
            <w:tcW w:w="2043" w:type="dxa"/>
            <w:tcBorders>
              <w:top w:val="nil"/>
              <w:left w:val="nil"/>
              <w:bottom w:val="single" w:sz="4" w:space="0" w:color="000000"/>
              <w:right w:val="single" w:sz="4" w:space="0" w:color="000000"/>
            </w:tcBorders>
            <w:shd w:val="clear" w:color="auto" w:fill="auto"/>
            <w:noWrap/>
            <w:vAlign w:val="center"/>
            <w:hideMark/>
          </w:tcPr>
          <w:p w:rsidR="00723336" w:rsidRPr="00723336" w:rsidRDefault="00723336" w:rsidP="0002323C">
            <w:pPr>
              <w:pStyle w:val="TableText"/>
              <w:rPr>
                <w:rFonts w:eastAsia="Times New Roman"/>
              </w:rPr>
            </w:pPr>
            <w:r w:rsidRPr="00723336">
              <w:rPr>
                <w:rFonts w:eastAsia="Times New Roman"/>
              </w:rPr>
              <w:t>June 1</w:t>
            </w:r>
            <w:r w:rsidR="009967CB">
              <w:t>–</w:t>
            </w:r>
            <w:r w:rsidRPr="00723336">
              <w:rPr>
                <w:rFonts w:eastAsia="Times New Roman"/>
              </w:rPr>
              <w:t>September 30</w:t>
            </w:r>
          </w:p>
        </w:tc>
        <w:tc>
          <w:tcPr>
            <w:tcW w:w="1530" w:type="dxa"/>
            <w:tcBorders>
              <w:top w:val="nil"/>
              <w:left w:val="nil"/>
              <w:bottom w:val="single" w:sz="4" w:space="0" w:color="000000"/>
              <w:right w:val="single" w:sz="4" w:space="0" w:color="000000"/>
            </w:tcBorders>
            <w:shd w:val="clear" w:color="auto" w:fill="auto"/>
            <w:noWrap/>
            <w:vAlign w:val="center"/>
            <w:hideMark/>
          </w:tcPr>
          <w:p w:rsidR="00723336" w:rsidRPr="00723336" w:rsidRDefault="00723336" w:rsidP="0002323C">
            <w:pPr>
              <w:pStyle w:val="TableText"/>
              <w:rPr>
                <w:rFonts w:eastAsia="Times New Roman"/>
              </w:rPr>
            </w:pPr>
            <w:r w:rsidRPr="00723336">
              <w:rPr>
                <w:rFonts w:eastAsia="Times New Roman"/>
              </w:rPr>
              <w:t>12</w:t>
            </w:r>
            <w:r w:rsidR="009967CB">
              <w:t>–</w:t>
            </w:r>
            <w:r w:rsidRPr="00723336">
              <w:rPr>
                <w:rFonts w:eastAsia="Times New Roman"/>
              </w:rPr>
              <w:t>6 PM</w:t>
            </w:r>
          </w:p>
        </w:tc>
      </w:tr>
      <w:tr w:rsidR="00723336" w:rsidRPr="00723336" w:rsidTr="0002323C">
        <w:trPr>
          <w:trHeight w:val="300"/>
          <w:jc w:val="center"/>
        </w:trPr>
        <w:tc>
          <w:tcPr>
            <w:tcW w:w="847" w:type="dxa"/>
            <w:tcBorders>
              <w:top w:val="nil"/>
              <w:left w:val="single" w:sz="4" w:space="0" w:color="000000"/>
              <w:bottom w:val="single" w:sz="4" w:space="0" w:color="000000"/>
              <w:right w:val="single" w:sz="4" w:space="0" w:color="000000"/>
            </w:tcBorders>
            <w:shd w:val="clear" w:color="auto" w:fill="auto"/>
            <w:noWrap/>
            <w:vAlign w:val="center"/>
            <w:hideMark/>
          </w:tcPr>
          <w:p w:rsidR="00723336" w:rsidRPr="00723336" w:rsidRDefault="00723336" w:rsidP="0002323C">
            <w:pPr>
              <w:pStyle w:val="TableText"/>
              <w:rPr>
                <w:rFonts w:eastAsia="Times New Roman"/>
              </w:rPr>
            </w:pPr>
            <w:r w:rsidRPr="00723336">
              <w:rPr>
                <w:rFonts w:eastAsia="Times New Roman"/>
              </w:rPr>
              <w:t>SDG&amp;E</w:t>
            </w:r>
          </w:p>
        </w:tc>
        <w:tc>
          <w:tcPr>
            <w:tcW w:w="2043" w:type="dxa"/>
            <w:tcBorders>
              <w:top w:val="nil"/>
              <w:left w:val="nil"/>
              <w:bottom w:val="single" w:sz="4" w:space="0" w:color="000000"/>
              <w:right w:val="single" w:sz="4" w:space="0" w:color="000000"/>
            </w:tcBorders>
            <w:shd w:val="clear" w:color="auto" w:fill="auto"/>
            <w:noWrap/>
            <w:vAlign w:val="center"/>
            <w:hideMark/>
          </w:tcPr>
          <w:p w:rsidR="00723336" w:rsidRPr="00723336" w:rsidRDefault="00723336" w:rsidP="0002323C">
            <w:pPr>
              <w:pStyle w:val="TableText"/>
              <w:rPr>
                <w:rFonts w:eastAsia="Times New Roman"/>
              </w:rPr>
            </w:pPr>
            <w:r w:rsidRPr="00723336">
              <w:rPr>
                <w:rFonts w:eastAsia="Times New Roman"/>
              </w:rPr>
              <w:t>May 1</w:t>
            </w:r>
            <w:r w:rsidR="009967CB">
              <w:t>–</w:t>
            </w:r>
            <w:r w:rsidRPr="00723336">
              <w:rPr>
                <w:rFonts w:eastAsia="Times New Roman"/>
              </w:rPr>
              <w:t>October 31</w:t>
            </w:r>
          </w:p>
        </w:tc>
        <w:tc>
          <w:tcPr>
            <w:tcW w:w="1530" w:type="dxa"/>
            <w:tcBorders>
              <w:top w:val="nil"/>
              <w:left w:val="nil"/>
              <w:bottom w:val="single" w:sz="4" w:space="0" w:color="000000"/>
              <w:right w:val="single" w:sz="4" w:space="0" w:color="000000"/>
            </w:tcBorders>
            <w:shd w:val="clear" w:color="auto" w:fill="auto"/>
            <w:noWrap/>
            <w:vAlign w:val="center"/>
            <w:hideMark/>
          </w:tcPr>
          <w:p w:rsidR="00723336" w:rsidRPr="00723336" w:rsidRDefault="00723336" w:rsidP="0002323C">
            <w:pPr>
              <w:pStyle w:val="TableText"/>
              <w:rPr>
                <w:rFonts w:eastAsia="Times New Roman"/>
              </w:rPr>
            </w:pPr>
            <w:r w:rsidRPr="00723336">
              <w:rPr>
                <w:rFonts w:eastAsia="Times New Roman"/>
              </w:rPr>
              <w:t>11 AM</w:t>
            </w:r>
            <w:r w:rsidR="009967CB">
              <w:t>–</w:t>
            </w:r>
            <w:r w:rsidRPr="00723336">
              <w:rPr>
                <w:rFonts w:eastAsia="Times New Roman"/>
              </w:rPr>
              <w:t>6 PM</w:t>
            </w:r>
          </w:p>
        </w:tc>
      </w:tr>
    </w:tbl>
    <w:p w:rsidR="00A24468" w:rsidRDefault="00A24468" w:rsidP="00E97668">
      <w:pPr>
        <w:pStyle w:val="Heading2"/>
        <w:spacing w:before="360"/>
        <w:ind w:left="720" w:hanging="720"/>
      </w:pPr>
      <w:bookmarkStart w:id="7" w:name="_Toc382926503"/>
      <w:r>
        <w:t>Current PLS Program Status</w:t>
      </w:r>
      <w:bookmarkEnd w:id="7"/>
    </w:p>
    <w:p w:rsidR="00B87B25" w:rsidRDefault="00A24468" w:rsidP="009A16B1">
      <w:pPr>
        <w:pStyle w:val="BodyParagraph"/>
      </w:pPr>
      <w:r>
        <w:t>Table 1-2</w:t>
      </w:r>
      <w:r w:rsidR="00B87B25">
        <w:t xml:space="preserve"> provides the PLS program status by utility and by stage in the </w:t>
      </w:r>
      <w:r w:rsidR="00BE274D">
        <w:t xml:space="preserve">PLS application and </w:t>
      </w:r>
      <w:r w:rsidR="00BE46E0">
        <w:t>verification</w:t>
      </w:r>
      <w:r w:rsidR="00B87B25">
        <w:t xml:space="preserve"> process.  As of January 2014, the utilities received 13 </w:t>
      </w:r>
      <w:r>
        <w:t xml:space="preserve">complete </w:t>
      </w:r>
      <w:r w:rsidR="00B87B25">
        <w:t xml:space="preserve">applications that are likely to move forward in the </w:t>
      </w:r>
      <w:r w:rsidR="00BE46E0">
        <w:t xml:space="preserve">verification </w:t>
      </w:r>
      <w:r w:rsidR="00B87B25">
        <w:t>process</w:t>
      </w:r>
      <w:r w:rsidR="00BE743B">
        <w:t xml:space="preserve">. </w:t>
      </w:r>
      <w:r w:rsidR="0073092D">
        <w:t xml:space="preserve"> </w:t>
      </w:r>
      <w:r w:rsidR="00BE743B">
        <w:t xml:space="preserve">Since these applications have already been received by the </w:t>
      </w:r>
      <w:r w:rsidR="0073092D">
        <w:t>utilities, they</w:t>
      </w:r>
      <w:r w:rsidR="00BE743B">
        <w:t xml:space="preserve"> are referred to </w:t>
      </w:r>
      <w:r w:rsidR="003F78F5">
        <w:t xml:space="preserve">as </w:t>
      </w:r>
      <w:r w:rsidRPr="003F78F5">
        <w:rPr>
          <w:i/>
        </w:rPr>
        <w:t>identified projects</w:t>
      </w:r>
      <w:r w:rsidR="0073092D">
        <w:t xml:space="preserve"> in the </w:t>
      </w:r>
      <w:proofErr w:type="spellStart"/>
      <w:r w:rsidR="0073092D">
        <w:t>ex ante</w:t>
      </w:r>
      <w:proofErr w:type="spellEnd"/>
      <w:r w:rsidR="0073092D">
        <w:t xml:space="preserve"> forecast</w:t>
      </w:r>
      <w:r w:rsidR="00B87B25">
        <w:t xml:space="preserve">.  </w:t>
      </w:r>
      <w:r w:rsidR="00BE46E0">
        <w:t>If these 13 customers end up installing a PLS</w:t>
      </w:r>
      <w:r w:rsidR="00E97668">
        <w:t>-TES</w:t>
      </w:r>
      <w:r w:rsidR="00BE46E0">
        <w:t xml:space="preserve"> system, those installations are expected to provide nearly 11 MW of </w:t>
      </w:r>
      <w:r>
        <w:t xml:space="preserve">total </w:t>
      </w:r>
      <w:r w:rsidR="00BE46E0">
        <w:t xml:space="preserve">load shift, resulting in incentives of around $7.9 million </w:t>
      </w:r>
      <w:r w:rsidR="00BE743B">
        <w:t xml:space="preserve">being spent across the three </w:t>
      </w:r>
      <w:r w:rsidR="0073092D">
        <w:t>u</w:t>
      </w:r>
      <w:r w:rsidR="00BE743B">
        <w:t>tilities</w:t>
      </w:r>
      <w:r w:rsidR="00CC77FD">
        <w:t>.  However, as these customers move through the verification process, the load shift amount is likely to change, so the 11 MW total load shift amount is simply an indicator based on the most recent available information</w:t>
      </w:r>
      <w:r w:rsidR="00BE46E0">
        <w:t xml:space="preserve">.  </w:t>
      </w:r>
      <w:r w:rsidR="00B87B25">
        <w:t xml:space="preserve">SCE received eight applications, </w:t>
      </w:r>
      <w:r w:rsidR="00BE743B">
        <w:t>and for one of these applications, the feasibility study has also been received.</w:t>
      </w:r>
      <w:r w:rsidR="00B87B25">
        <w:t xml:space="preserve">  </w:t>
      </w:r>
      <w:r w:rsidR="00BE46E0">
        <w:t>The other seven SCE applications were approved and are expected to reach the feasibility study stage in the first half of 2014.  PG&amp;E has approved four applications, but as of January 2014, no feasibility studies were received.</w:t>
      </w:r>
      <w:r w:rsidR="00D82BA1">
        <w:t xml:space="preserve">  SDG&amp;E received on</w:t>
      </w:r>
      <w:r>
        <w:t>e</w:t>
      </w:r>
      <w:r w:rsidR="00D82BA1">
        <w:t xml:space="preserve"> application,</w:t>
      </w:r>
      <w:r w:rsidR="00CC77FD">
        <w:t xml:space="preserve"> and that project</w:t>
      </w:r>
      <w:r w:rsidR="00D82BA1">
        <w:t xml:space="preserve"> has reached the feasibility study stage.</w:t>
      </w:r>
      <w:r w:rsidR="00815A74">
        <w:t xml:space="preserve">  While this year’s PLS evaluation benefits from this information on applications that have been received, it is important to </w:t>
      </w:r>
      <w:r>
        <w:t>recognize that there are six or seven</w:t>
      </w:r>
      <w:r w:rsidR="00815A74">
        <w:t xml:space="preserve"> </w:t>
      </w:r>
      <w:r>
        <w:t xml:space="preserve">time-consuming </w:t>
      </w:r>
      <w:r w:rsidR="00815A74">
        <w:t xml:space="preserve">stages </w:t>
      </w:r>
      <w:r w:rsidR="0052054D">
        <w:t>from the time an application is submitted by the customer to the</w:t>
      </w:r>
      <w:r w:rsidR="00265F85">
        <w:t xml:space="preserve"> time when the installation comes online</w:t>
      </w:r>
      <w:r w:rsidR="0052054D">
        <w:t xml:space="preserve">. </w:t>
      </w:r>
      <w:r w:rsidR="00265F85">
        <w:t xml:space="preserve"> </w:t>
      </w:r>
      <w:r w:rsidR="0052054D">
        <w:t xml:space="preserve">All </w:t>
      </w:r>
      <w:r w:rsidR="00265F85">
        <w:t xml:space="preserve">of </w:t>
      </w:r>
      <w:r w:rsidR="0052054D">
        <w:t>the</w:t>
      </w:r>
      <w:r w:rsidR="00265F85">
        <w:t>se stages are illustrated in</w:t>
      </w:r>
      <w:r w:rsidR="00815A74">
        <w:t xml:space="preserve"> Table 1-</w:t>
      </w:r>
      <w:r w:rsidR="00265F85">
        <w:t>2</w:t>
      </w:r>
      <w:r w:rsidR="00815A74">
        <w:t xml:space="preserve">.  </w:t>
      </w:r>
      <w:r w:rsidR="0052054D">
        <w:t>It can take up</w:t>
      </w:r>
      <w:r w:rsidR="00265F85">
        <w:t xml:space="preserve"> </w:t>
      </w:r>
      <w:r w:rsidR="0052054D">
        <w:t xml:space="preserve">to </w:t>
      </w:r>
      <w:r w:rsidR="00815A74">
        <w:t xml:space="preserve">two years or more for some </w:t>
      </w:r>
      <w:r w:rsidR="0052054D">
        <w:t xml:space="preserve">applications to </w:t>
      </w:r>
      <w:r w:rsidR="00265F85">
        <w:t>go through</w:t>
      </w:r>
      <w:r w:rsidR="0052054D">
        <w:t xml:space="preserve"> all of the stages and result in an installation. </w:t>
      </w:r>
      <w:r w:rsidR="00265F85">
        <w:t xml:space="preserve"> Based on </w:t>
      </w:r>
      <w:r w:rsidR="00BC6EC4">
        <w:t>the</w:t>
      </w:r>
      <w:r w:rsidR="00265F85">
        <w:t xml:space="preserve"> current applications, t</w:t>
      </w:r>
      <w:r w:rsidR="0052054D">
        <w:t xml:space="preserve">he time period </w:t>
      </w:r>
      <w:r w:rsidR="0052054D">
        <w:lastRenderedPageBreak/>
        <w:t>for each</w:t>
      </w:r>
      <w:r w:rsidR="00265F85">
        <w:t xml:space="preserve"> project (application) is expected to vary with</w:t>
      </w:r>
      <w:r w:rsidR="0052054D">
        <w:t xml:space="preserve"> the s</w:t>
      </w:r>
      <w:r w:rsidR="00265F85">
        <w:t xml:space="preserve">ize of the PLS-TES installation, </w:t>
      </w:r>
      <w:r w:rsidR="0052054D">
        <w:t xml:space="preserve">from </w:t>
      </w:r>
      <w:r w:rsidR="00265F85">
        <w:t>6 months</w:t>
      </w:r>
      <w:r w:rsidR="0052054D">
        <w:t xml:space="preserve"> for small projects to </w:t>
      </w:r>
      <w:r w:rsidR="00265F85">
        <w:t>24 months</w:t>
      </w:r>
      <w:r w:rsidR="0052054D">
        <w:t xml:space="preserve"> for large projects. </w:t>
      </w:r>
      <w:r w:rsidR="00815A74">
        <w:t xml:space="preserve"> Therefore, the forecast for these identified projects is still uncertain, as the kW load shift can change during the verification process and customers may choose not to continue through the process.</w:t>
      </w:r>
    </w:p>
    <w:p w:rsidR="001326D6" w:rsidRDefault="00B87B25" w:rsidP="00BE46E0">
      <w:pPr>
        <w:pStyle w:val="TableFigureCaption"/>
      </w:pPr>
      <w:r>
        <w:t>Table 1-</w:t>
      </w:r>
      <w:r w:rsidR="00A24468">
        <w:t>2</w:t>
      </w:r>
      <w:r>
        <w:t>: PLS Program Status by Utility</w:t>
      </w:r>
      <w:r w:rsidR="00BE46E0">
        <w:t xml:space="preserve"> and Stage in Verification Process</w:t>
      </w:r>
      <w:r>
        <w:t xml:space="preserve"> (as of January 2014)</w:t>
      </w:r>
    </w:p>
    <w:tbl>
      <w:tblPr>
        <w:tblW w:w="10524" w:type="dxa"/>
        <w:jc w:val="center"/>
        <w:tblInd w:w="93" w:type="dxa"/>
        <w:tblLook w:val="04A0" w:firstRow="1" w:lastRow="0" w:firstColumn="1" w:lastColumn="0" w:noHBand="0" w:noVBand="1"/>
      </w:tblPr>
      <w:tblGrid>
        <w:gridCol w:w="675"/>
        <w:gridCol w:w="2525"/>
        <w:gridCol w:w="640"/>
        <w:gridCol w:w="1131"/>
        <w:gridCol w:w="674"/>
        <w:gridCol w:w="640"/>
        <w:gridCol w:w="1131"/>
        <w:gridCol w:w="674"/>
        <w:gridCol w:w="640"/>
        <w:gridCol w:w="1120"/>
        <w:gridCol w:w="674"/>
      </w:tblGrid>
      <w:tr w:rsidR="00C00432" w:rsidRPr="00C00432" w:rsidTr="002B16D8">
        <w:trPr>
          <w:trHeight w:val="300"/>
          <w:jc w:val="center"/>
        </w:trPr>
        <w:tc>
          <w:tcPr>
            <w:tcW w:w="675" w:type="dxa"/>
            <w:vMerge w:val="restart"/>
            <w:tcBorders>
              <w:top w:val="single" w:sz="4" w:space="0" w:color="000000"/>
              <w:left w:val="single" w:sz="4" w:space="0" w:color="000000"/>
              <w:bottom w:val="single" w:sz="4" w:space="0" w:color="FFFFFF"/>
              <w:right w:val="single" w:sz="4" w:space="0" w:color="FFFFFF"/>
            </w:tcBorders>
            <w:shd w:val="clear" w:color="000000" w:fill="1F497D"/>
            <w:vAlign w:val="center"/>
            <w:hideMark/>
          </w:tcPr>
          <w:p w:rsidR="00C00432" w:rsidRPr="00C00432" w:rsidRDefault="00C00432" w:rsidP="0002323C">
            <w:pPr>
              <w:pStyle w:val="TableHeader"/>
              <w:rPr>
                <w:rFonts w:eastAsia="Times New Roman"/>
              </w:rPr>
            </w:pPr>
            <w:r w:rsidRPr="00C00432">
              <w:rPr>
                <w:rFonts w:eastAsia="Times New Roman"/>
              </w:rPr>
              <w:t>Stage #</w:t>
            </w:r>
          </w:p>
        </w:tc>
        <w:tc>
          <w:tcPr>
            <w:tcW w:w="2525" w:type="dxa"/>
            <w:vMerge w:val="restart"/>
            <w:tcBorders>
              <w:top w:val="single" w:sz="4" w:space="0" w:color="000000"/>
              <w:left w:val="single" w:sz="4" w:space="0" w:color="FFFFFF"/>
              <w:bottom w:val="single" w:sz="4" w:space="0" w:color="FFFFFF"/>
              <w:right w:val="single" w:sz="4" w:space="0" w:color="FFFFFF"/>
            </w:tcBorders>
            <w:shd w:val="clear" w:color="000000" w:fill="1F497D"/>
            <w:vAlign w:val="center"/>
            <w:hideMark/>
          </w:tcPr>
          <w:p w:rsidR="00C00432" w:rsidRPr="00C00432" w:rsidRDefault="00C00432" w:rsidP="0002323C">
            <w:pPr>
              <w:pStyle w:val="TableHeader"/>
              <w:rPr>
                <w:rFonts w:eastAsia="Times New Roman"/>
              </w:rPr>
            </w:pPr>
            <w:r w:rsidRPr="00C00432">
              <w:rPr>
                <w:rFonts w:eastAsia="Times New Roman"/>
              </w:rPr>
              <w:t>Stage Description</w:t>
            </w:r>
          </w:p>
        </w:tc>
        <w:tc>
          <w:tcPr>
            <w:tcW w:w="2445" w:type="dxa"/>
            <w:gridSpan w:val="3"/>
            <w:tcBorders>
              <w:top w:val="single" w:sz="4" w:space="0" w:color="000000"/>
              <w:left w:val="nil"/>
              <w:bottom w:val="single" w:sz="4" w:space="0" w:color="FFFFFF"/>
              <w:right w:val="single" w:sz="4" w:space="0" w:color="FFFFFF"/>
            </w:tcBorders>
            <w:shd w:val="clear" w:color="000000" w:fill="1F497D"/>
            <w:vAlign w:val="center"/>
            <w:hideMark/>
          </w:tcPr>
          <w:p w:rsidR="00C00432" w:rsidRPr="00C00432" w:rsidRDefault="00C00432" w:rsidP="0002323C">
            <w:pPr>
              <w:pStyle w:val="TableHeader"/>
              <w:rPr>
                <w:rFonts w:eastAsia="Times New Roman"/>
              </w:rPr>
            </w:pPr>
            <w:r w:rsidRPr="00C00432">
              <w:rPr>
                <w:rFonts w:eastAsia="Times New Roman"/>
              </w:rPr>
              <w:t>SCE Totals</w:t>
            </w:r>
          </w:p>
        </w:tc>
        <w:tc>
          <w:tcPr>
            <w:tcW w:w="2445" w:type="dxa"/>
            <w:gridSpan w:val="3"/>
            <w:tcBorders>
              <w:top w:val="single" w:sz="4" w:space="0" w:color="000000"/>
              <w:left w:val="nil"/>
              <w:bottom w:val="single" w:sz="4" w:space="0" w:color="FFFFFF"/>
              <w:right w:val="single" w:sz="4" w:space="0" w:color="FFFFFF"/>
            </w:tcBorders>
            <w:shd w:val="clear" w:color="000000" w:fill="1F497D"/>
            <w:vAlign w:val="center"/>
            <w:hideMark/>
          </w:tcPr>
          <w:p w:rsidR="00C00432" w:rsidRPr="00C00432" w:rsidRDefault="00C00432" w:rsidP="0002323C">
            <w:pPr>
              <w:pStyle w:val="TableHeader"/>
              <w:rPr>
                <w:rFonts w:eastAsia="Times New Roman"/>
              </w:rPr>
            </w:pPr>
            <w:r w:rsidRPr="00C00432">
              <w:rPr>
                <w:rFonts w:eastAsia="Times New Roman"/>
              </w:rPr>
              <w:t>PG&amp;E Totals</w:t>
            </w:r>
          </w:p>
        </w:tc>
        <w:tc>
          <w:tcPr>
            <w:tcW w:w="2434" w:type="dxa"/>
            <w:gridSpan w:val="3"/>
            <w:tcBorders>
              <w:top w:val="single" w:sz="4" w:space="0" w:color="000000"/>
              <w:left w:val="nil"/>
              <w:bottom w:val="single" w:sz="4" w:space="0" w:color="FFFFFF"/>
              <w:right w:val="single" w:sz="4" w:space="0" w:color="000000"/>
            </w:tcBorders>
            <w:shd w:val="clear" w:color="000000" w:fill="1F497D"/>
            <w:vAlign w:val="center"/>
            <w:hideMark/>
          </w:tcPr>
          <w:p w:rsidR="00C00432" w:rsidRPr="00C00432" w:rsidRDefault="00C00432" w:rsidP="0002323C">
            <w:pPr>
              <w:pStyle w:val="TableHeader"/>
              <w:rPr>
                <w:rFonts w:eastAsia="Times New Roman"/>
              </w:rPr>
            </w:pPr>
            <w:r w:rsidRPr="00C00432">
              <w:rPr>
                <w:rFonts w:eastAsia="Times New Roman"/>
              </w:rPr>
              <w:t>SDG&amp;E Totals</w:t>
            </w:r>
          </w:p>
        </w:tc>
      </w:tr>
      <w:tr w:rsidR="00C00432" w:rsidRPr="00C00432" w:rsidTr="002B16D8">
        <w:trPr>
          <w:trHeight w:val="300"/>
          <w:jc w:val="center"/>
        </w:trPr>
        <w:tc>
          <w:tcPr>
            <w:tcW w:w="675" w:type="dxa"/>
            <w:vMerge/>
            <w:tcBorders>
              <w:top w:val="single" w:sz="4" w:space="0" w:color="000000"/>
              <w:left w:val="single" w:sz="4" w:space="0" w:color="000000"/>
              <w:bottom w:val="single" w:sz="4" w:space="0" w:color="FFFFFF"/>
              <w:right w:val="single" w:sz="4" w:space="0" w:color="FFFFFF"/>
            </w:tcBorders>
            <w:vAlign w:val="center"/>
            <w:hideMark/>
          </w:tcPr>
          <w:p w:rsidR="00C00432" w:rsidRPr="00C00432" w:rsidRDefault="00C00432" w:rsidP="0002323C">
            <w:pPr>
              <w:pStyle w:val="TableHeader"/>
              <w:rPr>
                <w:rFonts w:eastAsia="Times New Roman"/>
              </w:rPr>
            </w:pPr>
          </w:p>
        </w:tc>
        <w:tc>
          <w:tcPr>
            <w:tcW w:w="2525" w:type="dxa"/>
            <w:vMerge/>
            <w:tcBorders>
              <w:top w:val="single" w:sz="4" w:space="0" w:color="000000"/>
              <w:left w:val="single" w:sz="4" w:space="0" w:color="FFFFFF"/>
              <w:bottom w:val="single" w:sz="4" w:space="0" w:color="FFFFFF"/>
              <w:right w:val="single" w:sz="4" w:space="0" w:color="FFFFFF"/>
            </w:tcBorders>
            <w:vAlign w:val="center"/>
            <w:hideMark/>
          </w:tcPr>
          <w:p w:rsidR="00C00432" w:rsidRPr="00C00432" w:rsidRDefault="00C00432" w:rsidP="0002323C">
            <w:pPr>
              <w:pStyle w:val="TableHeader"/>
              <w:rPr>
                <w:rFonts w:eastAsia="Times New Roman"/>
              </w:rPr>
            </w:pPr>
          </w:p>
        </w:tc>
        <w:tc>
          <w:tcPr>
            <w:tcW w:w="640" w:type="dxa"/>
            <w:tcBorders>
              <w:top w:val="nil"/>
              <w:left w:val="nil"/>
              <w:bottom w:val="nil"/>
              <w:right w:val="single" w:sz="4" w:space="0" w:color="FFFFFF"/>
            </w:tcBorders>
            <w:shd w:val="clear" w:color="000000" w:fill="1F497D"/>
            <w:vAlign w:val="center"/>
            <w:hideMark/>
          </w:tcPr>
          <w:p w:rsidR="00C00432" w:rsidRPr="00C00432" w:rsidRDefault="00BF66A4" w:rsidP="0002323C">
            <w:pPr>
              <w:pStyle w:val="TableHeader"/>
              <w:rPr>
                <w:rFonts w:eastAsia="Times New Roman"/>
              </w:rPr>
            </w:pPr>
            <w:r>
              <w:rPr>
                <w:rFonts w:eastAsia="Times New Roman"/>
              </w:rPr>
              <w:t>Apps</w:t>
            </w:r>
          </w:p>
        </w:tc>
        <w:tc>
          <w:tcPr>
            <w:tcW w:w="1131" w:type="dxa"/>
            <w:tcBorders>
              <w:top w:val="nil"/>
              <w:left w:val="nil"/>
              <w:bottom w:val="nil"/>
              <w:right w:val="single" w:sz="4" w:space="0" w:color="FFFFFF"/>
            </w:tcBorders>
            <w:shd w:val="clear" w:color="000000" w:fill="1F497D"/>
            <w:vAlign w:val="center"/>
            <w:hideMark/>
          </w:tcPr>
          <w:p w:rsidR="00C00432" w:rsidRPr="00C00432" w:rsidRDefault="00C00432" w:rsidP="0002323C">
            <w:pPr>
              <w:pStyle w:val="TableHeader"/>
              <w:rPr>
                <w:rFonts w:eastAsia="Times New Roman"/>
              </w:rPr>
            </w:pPr>
            <w:r w:rsidRPr="00C00432">
              <w:rPr>
                <w:rFonts w:eastAsia="Times New Roman"/>
              </w:rPr>
              <w:t>Incentive</w:t>
            </w:r>
          </w:p>
        </w:tc>
        <w:tc>
          <w:tcPr>
            <w:tcW w:w="674" w:type="dxa"/>
            <w:tcBorders>
              <w:top w:val="nil"/>
              <w:left w:val="nil"/>
              <w:bottom w:val="nil"/>
              <w:right w:val="single" w:sz="4" w:space="0" w:color="FFFFFF"/>
            </w:tcBorders>
            <w:shd w:val="clear" w:color="000000" w:fill="1F497D"/>
            <w:vAlign w:val="center"/>
            <w:hideMark/>
          </w:tcPr>
          <w:p w:rsidR="00C00432" w:rsidRPr="00C00432" w:rsidRDefault="00C00432" w:rsidP="0002323C">
            <w:pPr>
              <w:pStyle w:val="TableHeader"/>
              <w:rPr>
                <w:rFonts w:eastAsia="Times New Roman"/>
              </w:rPr>
            </w:pPr>
            <w:r w:rsidRPr="00C00432">
              <w:rPr>
                <w:rFonts w:eastAsia="Times New Roman"/>
              </w:rPr>
              <w:t>kW</w:t>
            </w:r>
          </w:p>
        </w:tc>
        <w:tc>
          <w:tcPr>
            <w:tcW w:w="640" w:type="dxa"/>
            <w:tcBorders>
              <w:top w:val="nil"/>
              <w:left w:val="nil"/>
              <w:bottom w:val="nil"/>
              <w:right w:val="single" w:sz="4" w:space="0" w:color="FFFFFF"/>
            </w:tcBorders>
            <w:shd w:val="clear" w:color="000000" w:fill="1F497D"/>
            <w:vAlign w:val="center"/>
            <w:hideMark/>
          </w:tcPr>
          <w:p w:rsidR="00C00432" w:rsidRPr="00C00432" w:rsidRDefault="00BF66A4" w:rsidP="0002323C">
            <w:pPr>
              <w:pStyle w:val="TableHeader"/>
              <w:rPr>
                <w:rFonts w:eastAsia="Times New Roman"/>
              </w:rPr>
            </w:pPr>
            <w:r>
              <w:rPr>
                <w:rFonts w:eastAsia="Times New Roman"/>
              </w:rPr>
              <w:t>Apps</w:t>
            </w:r>
          </w:p>
        </w:tc>
        <w:tc>
          <w:tcPr>
            <w:tcW w:w="1131" w:type="dxa"/>
            <w:tcBorders>
              <w:top w:val="nil"/>
              <w:left w:val="nil"/>
              <w:bottom w:val="nil"/>
              <w:right w:val="single" w:sz="4" w:space="0" w:color="FFFFFF"/>
            </w:tcBorders>
            <w:shd w:val="clear" w:color="000000" w:fill="1F497D"/>
            <w:vAlign w:val="center"/>
            <w:hideMark/>
          </w:tcPr>
          <w:p w:rsidR="00C00432" w:rsidRPr="00C00432" w:rsidRDefault="00C00432" w:rsidP="0002323C">
            <w:pPr>
              <w:pStyle w:val="TableHeader"/>
              <w:rPr>
                <w:rFonts w:eastAsia="Times New Roman"/>
              </w:rPr>
            </w:pPr>
            <w:r w:rsidRPr="00C00432">
              <w:rPr>
                <w:rFonts w:eastAsia="Times New Roman"/>
              </w:rPr>
              <w:t>Incentive</w:t>
            </w:r>
          </w:p>
        </w:tc>
        <w:tc>
          <w:tcPr>
            <w:tcW w:w="674" w:type="dxa"/>
            <w:tcBorders>
              <w:top w:val="nil"/>
              <w:left w:val="nil"/>
              <w:bottom w:val="nil"/>
              <w:right w:val="single" w:sz="4" w:space="0" w:color="FFFFFF"/>
            </w:tcBorders>
            <w:shd w:val="clear" w:color="000000" w:fill="1F497D"/>
            <w:vAlign w:val="center"/>
            <w:hideMark/>
          </w:tcPr>
          <w:p w:rsidR="00C00432" w:rsidRPr="00C00432" w:rsidRDefault="00C00432" w:rsidP="0002323C">
            <w:pPr>
              <w:pStyle w:val="TableHeader"/>
              <w:rPr>
                <w:rFonts w:eastAsia="Times New Roman"/>
              </w:rPr>
            </w:pPr>
            <w:r w:rsidRPr="00C00432">
              <w:rPr>
                <w:rFonts w:eastAsia="Times New Roman"/>
              </w:rPr>
              <w:t>kW</w:t>
            </w:r>
          </w:p>
        </w:tc>
        <w:tc>
          <w:tcPr>
            <w:tcW w:w="640" w:type="dxa"/>
            <w:tcBorders>
              <w:top w:val="nil"/>
              <w:left w:val="nil"/>
              <w:bottom w:val="nil"/>
              <w:right w:val="single" w:sz="4" w:space="0" w:color="FFFFFF"/>
            </w:tcBorders>
            <w:shd w:val="clear" w:color="000000" w:fill="1F497D"/>
            <w:vAlign w:val="center"/>
            <w:hideMark/>
          </w:tcPr>
          <w:p w:rsidR="00C00432" w:rsidRPr="00C00432" w:rsidRDefault="00BF66A4" w:rsidP="0002323C">
            <w:pPr>
              <w:pStyle w:val="TableHeader"/>
              <w:rPr>
                <w:rFonts w:eastAsia="Times New Roman"/>
              </w:rPr>
            </w:pPr>
            <w:r>
              <w:rPr>
                <w:rFonts w:eastAsia="Times New Roman"/>
              </w:rPr>
              <w:t>Apps</w:t>
            </w:r>
          </w:p>
        </w:tc>
        <w:tc>
          <w:tcPr>
            <w:tcW w:w="1120" w:type="dxa"/>
            <w:tcBorders>
              <w:top w:val="nil"/>
              <w:left w:val="nil"/>
              <w:bottom w:val="nil"/>
              <w:right w:val="single" w:sz="4" w:space="0" w:color="FFFFFF"/>
            </w:tcBorders>
            <w:shd w:val="clear" w:color="000000" w:fill="1F497D"/>
            <w:vAlign w:val="center"/>
            <w:hideMark/>
          </w:tcPr>
          <w:p w:rsidR="00C00432" w:rsidRPr="00C00432" w:rsidRDefault="00C00432" w:rsidP="0002323C">
            <w:pPr>
              <w:pStyle w:val="TableHeader"/>
              <w:rPr>
                <w:rFonts w:eastAsia="Times New Roman"/>
              </w:rPr>
            </w:pPr>
            <w:r w:rsidRPr="00C00432">
              <w:rPr>
                <w:rFonts w:eastAsia="Times New Roman"/>
              </w:rPr>
              <w:t>Incentive</w:t>
            </w:r>
          </w:p>
        </w:tc>
        <w:tc>
          <w:tcPr>
            <w:tcW w:w="674" w:type="dxa"/>
            <w:tcBorders>
              <w:top w:val="nil"/>
              <w:left w:val="nil"/>
              <w:bottom w:val="nil"/>
              <w:right w:val="single" w:sz="4" w:space="0" w:color="000000"/>
            </w:tcBorders>
            <w:shd w:val="clear" w:color="000000" w:fill="1F497D"/>
            <w:vAlign w:val="center"/>
            <w:hideMark/>
          </w:tcPr>
          <w:p w:rsidR="00C00432" w:rsidRPr="00C00432" w:rsidRDefault="00C00432" w:rsidP="0002323C">
            <w:pPr>
              <w:pStyle w:val="TableHeader"/>
              <w:rPr>
                <w:rFonts w:eastAsia="Times New Roman"/>
              </w:rPr>
            </w:pPr>
            <w:r w:rsidRPr="00C00432">
              <w:rPr>
                <w:rFonts w:eastAsia="Times New Roman"/>
              </w:rPr>
              <w:t>kW</w:t>
            </w:r>
          </w:p>
        </w:tc>
      </w:tr>
      <w:tr w:rsidR="00CB27F8" w:rsidRPr="00C00432" w:rsidTr="00CB27F8">
        <w:trPr>
          <w:trHeight w:val="525"/>
          <w:jc w:val="center"/>
        </w:trPr>
        <w:tc>
          <w:tcPr>
            <w:tcW w:w="675" w:type="dxa"/>
            <w:tcBorders>
              <w:top w:val="single" w:sz="4" w:space="0" w:color="auto"/>
              <w:left w:val="single" w:sz="4" w:space="0" w:color="auto"/>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1</w:t>
            </w:r>
          </w:p>
        </w:tc>
        <w:tc>
          <w:tcPr>
            <w:tcW w:w="2525" w:type="dxa"/>
            <w:tcBorders>
              <w:top w:val="single" w:sz="4" w:space="0" w:color="auto"/>
              <w:left w:val="nil"/>
              <w:bottom w:val="dotted" w:sz="4" w:space="0" w:color="000000"/>
              <w:right w:val="single" w:sz="4" w:space="0" w:color="auto"/>
            </w:tcBorders>
            <w:shd w:val="clear" w:color="auto" w:fill="auto"/>
            <w:vAlign w:val="center"/>
            <w:hideMark/>
          </w:tcPr>
          <w:p w:rsidR="00CB27F8" w:rsidRPr="00CB27F8" w:rsidRDefault="00CB27F8" w:rsidP="00CB27F8">
            <w:pPr>
              <w:pStyle w:val="Bullets"/>
              <w:numPr>
                <w:ilvl w:val="0"/>
                <w:numId w:val="0"/>
              </w:numPr>
              <w:spacing w:before="60" w:after="60"/>
              <w:jc w:val="center"/>
              <w:rPr>
                <w:sz w:val="20"/>
                <w:szCs w:val="20"/>
              </w:rPr>
            </w:pPr>
            <w:r w:rsidRPr="00CB27F8">
              <w:rPr>
                <w:sz w:val="20"/>
                <w:szCs w:val="20"/>
              </w:rPr>
              <w:t>Customer submits complete application</w:t>
            </w:r>
          </w:p>
        </w:tc>
        <w:tc>
          <w:tcPr>
            <w:tcW w:w="640" w:type="dxa"/>
            <w:tcBorders>
              <w:top w:val="single" w:sz="4" w:space="0" w:color="auto"/>
              <w:left w:val="nil"/>
              <w:bottom w:val="dotted" w:sz="4" w:space="0" w:color="000000"/>
              <w:right w:val="dotted" w:sz="4" w:space="0" w:color="000000"/>
            </w:tcBorders>
            <w:shd w:val="clear" w:color="auto" w:fill="auto"/>
            <w:noWrap/>
            <w:vAlign w:val="center"/>
            <w:hideMark/>
          </w:tcPr>
          <w:p w:rsidR="00CB27F8" w:rsidRPr="00C00432" w:rsidRDefault="00CB27F8" w:rsidP="00C66D15">
            <w:pPr>
              <w:pStyle w:val="TableText"/>
              <w:rPr>
                <w:rFonts w:eastAsia="Times New Roman"/>
              </w:rPr>
            </w:pPr>
            <w:r w:rsidRPr="00C00432">
              <w:rPr>
                <w:rFonts w:eastAsia="Times New Roman"/>
              </w:rPr>
              <w:t>7</w:t>
            </w:r>
          </w:p>
        </w:tc>
        <w:tc>
          <w:tcPr>
            <w:tcW w:w="1131" w:type="dxa"/>
            <w:tcBorders>
              <w:top w:val="single" w:sz="4" w:space="0" w:color="auto"/>
              <w:left w:val="nil"/>
              <w:bottom w:val="dotted" w:sz="4" w:space="0" w:color="000000"/>
              <w:right w:val="dotted" w:sz="4" w:space="0" w:color="000000"/>
            </w:tcBorders>
            <w:shd w:val="clear" w:color="auto" w:fill="auto"/>
            <w:noWrap/>
            <w:vAlign w:val="center"/>
            <w:hideMark/>
          </w:tcPr>
          <w:p w:rsidR="00CB27F8" w:rsidRPr="00C00432" w:rsidRDefault="00CB27F8" w:rsidP="00C66D15">
            <w:pPr>
              <w:pStyle w:val="TableText"/>
              <w:rPr>
                <w:rFonts w:eastAsia="Times New Roman"/>
              </w:rPr>
            </w:pPr>
            <w:r w:rsidRPr="00C00432">
              <w:rPr>
                <w:rFonts w:eastAsia="Times New Roman"/>
              </w:rPr>
              <w:t>$4,420,325</w:t>
            </w:r>
          </w:p>
        </w:tc>
        <w:tc>
          <w:tcPr>
            <w:tcW w:w="674" w:type="dxa"/>
            <w:tcBorders>
              <w:top w:val="single" w:sz="4" w:space="0" w:color="auto"/>
              <w:left w:val="nil"/>
              <w:bottom w:val="dotted" w:sz="4" w:space="0" w:color="000000"/>
              <w:right w:val="single" w:sz="4" w:space="0" w:color="auto"/>
            </w:tcBorders>
            <w:shd w:val="clear" w:color="auto" w:fill="auto"/>
            <w:noWrap/>
            <w:vAlign w:val="center"/>
            <w:hideMark/>
          </w:tcPr>
          <w:p w:rsidR="00CB27F8" w:rsidRPr="00C00432" w:rsidRDefault="00CB27F8" w:rsidP="00C66D15">
            <w:pPr>
              <w:pStyle w:val="TableText"/>
              <w:rPr>
                <w:rFonts w:eastAsia="Times New Roman"/>
              </w:rPr>
            </w:pPr>
            <w:r w:rsidRPr="00C00432">
              <w:rPr>
                <w:rFonts w:eastAsia="Times New Roman"/>
              </w:rPr>
              <w:t>5,052</w:t>
            </w:r>
          </w:p>
        </w:tc>
        <w:tc>
          <w:tcPr>
            <w:tcW w:w="640" w:type="dxa"/>
            <w:tcBorders>
              <w:top w:val="single" w:sz="4" w:space="0" w:color="auto"/>
              <w:left w:val="nil"/>
              <w:bottom w:val="dotted" w:sz="4" w:space="0" w:color="000000"/>
              <w:right w:val="dotted" w:sz="4" w:space="0" w:color="000000"/>
            </w:tcBorders>
            <w:shd w:val="clear" w:color="auto" w:fill="auto"/>
            <w:noWrap/>
            <w:vAlign w:val="center"/>
            <w:hideMark/>
          </w:tcPr>
          <w:p w:rsidR="00CB27F8" w:rsidRPr="00C00432" w:rsidRDefault="00CB27F8" w:rsidP="00C66D15">
            <w:pPr>
              <w:pStyle w:val="TableText"/>
              <w:rPr>
                <w:rFonts w:eastAsia="Times New Roman"/>
              </w:rPr>
            </w:pPr>
            <w:r w:rsidRPr="00C00432">
              <w:rPr>
                <w:rFonts w:eastAsia="Times New Roman"/>
              </w:rPr>
              <w:t>4</w:t>
            </w:r>
          </w:p>
        </w:tc>
        <w:tc>
          <w:tcPr>
            <w:tcW w:w="1131" w:type="dxa"/>
            <w:tcBorders>
              <w:top w:val="single" w:sz="4" w:space="0" w:color="auto"/>
              <w:left w:val="nil"/>
              <w:bottom w:val="dotted" w:sz="4" w:space="0" w:color="000000"/>
              <w:right w:val="dotted" w:sz="4" w:space="0" w:color="000000"/>
            </w:tcBorders>
            <w:shd w:val="clear" w:color="auto" w:fill="auto"/>
            <w:noWrap/>
            <w:vAlign w:val="center"/>
            <w:hideMark/>
          </w:tcPr>
          <w:p w:rsidR="00CB27F8" w:rsidRPr="00C00432" w:rsidRDefault="00CB27F8" w:rsidP="00C66D15">
            <w:pPr>
              <w:pStyle w:val="TableText"/>
              <w:rPr>
                <w:rFonts w:eastAsia="Times New Roman"/>
              </w:rPr>
            </w:pPr>
            <w:r w:rsidRPr="00C00432">
              <w:rPr>
                <w:rFonts w:eastAsia="Times New Roman"/>
              </w:rPr>
              <w:t>$1,934,700</w:t>
            </w:r>
          </w:p>
        </w:tc>
        <w:tc>
          <w:tcPr>
            <w:tcW w:w="674" w:type="dxa"/>
            <w:tcBorders>
              <w:top w:val="single" w:sz="4" w:space="0" w:color="auto"/>
              <w:left w:val="nil"/>
              <w:bottom w:val="dotted" w:sz="4" w:space="0" w:color="000000"/>
              <w:right w:val="single" w:sz="4" w:space="0" w:color="auto"/>
            </w:tcBorders>
            <w:shd w:val="clear" w:color="auto" w:fill="auto"/>
            <w:noWrap/>
            <w:vAlign w:val="center"/>
            <w:hideMark/>
          </w:tcPr>
          <w:p w:rsidR="00CB27F8" w:rsidRPr="00C00432" w:rsidRDefault="00CB27F8" w:rsidP="00C66D15">
            <w:pPr>
              <w:pStyle w:val="TableText"/>
              <w:rPr>
                <w:rFonts w:eastAsia="Times New Roman"/>
              </w:rPr>
            </w:pPr>
            <w:r w:rsidRPr="00C00432">
              <w:rPr>
                <w:rFonts w:eastAsia="Times New Roman"/>
              </w:rPr>
              <w:t>4,040</w:t>
            </w:r>
          </w:p>
        </w:tc>
        <w:tc>
          <w:tcPr>
            <w:tcW w:w="640" w:type="dxa"/>
            <w:tcBorders>
              <w:top w:val="single" w:sz="4" w:space="0" w:color="000000"/>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20" w:type="dxa"/>
            <w:tcBorders>
              <w:top w:val="single" w:sz="4" w:space="0" w:color="000000"/>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single" w:sz="4" w:space="0" w:color="000000"/>
              <w:left w:val="nil"/>
              <w:bottom w:val="dotted" w:sz="4" w:space="0" w:color="000000"/>
              <w:right w:val="single"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r>
      <w:tr w:rsidR="00CB27F8" w:rsidRPr="00C00432" w:rsidTr="00CB27F8">
        <w:trPr>
          <w:trHeight w:val="525"/>
          <w:jc w:val="center"/>
        </w:trPr>
        <w:tc>
          <w:tcPr>
            <w:tcW w:w="675" w:type="dxa"/>
            <w:tcBorders>
              <w:top w:val="nil"/>
              <w:left w:val="single" w:sz="4" w:space="0" w:color="auto"/>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Pr>
                <w:rFonts w:eastAsia="Times New Roman"/>
              </w:rPr>
              <w:t>2</w:t>
            </w:r>
          </w:p>
        </w:tc>
        <w:tc>
          <w:tcPr>
            <w:tcW w:w="2525" w:type="dxa"/>
            <w:tcBorders>
              <w:top w:val="nil"/>
              <w:left w:val="nil"/>
              <w:bottom w:val="dotted" w:sz="4" w:space="0" w:color="000000"/>
              <w:right w:val="single" w:sz="4" w:space="0" w:color="auto"/>
            </w:tcBorders>
            <w:shd w:val="clear" w:color="auto" w:fill="auto"/>
            <w:vAlign w:val="center"/>
            <w:hideMark/>
          </w:tcPr>
          <w:p w:rsidR="00CB27F8" w:rsidRPr="00CB27F8" w:rsidRDefault="00CB27F8" w:rsidP="00CB27F8">
            <w:pPr>
              <w:pStyle w:val="Bullets"/>
              <w:numPr>
                <w:ilvl w:val="0"/>
                <w:numId w:val="0"/>
              </w:numPr>
              <w:spacing w:before="60" w:after="60"/>
              <w:jc w:val="center"/>
              <w:rPr>
                <w:sz w:val="20"/>
                <w:szCs w:val="20"/>
              </w:rPr>
            </w:pPr>
            <w:r w:rsidRPr="00CB27F8">
              <w:rPr>
                <w:sz w:val="20"/>
                <w:szCs w:val="20"/>
              </w:rPr>
              <w:t>Customer submits feasibility study</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1</w:t>
            </w:r>
          </w:p>
        </w:tc>
        <w:tc>
          <w:tcPr>
            <w:tcW w:w="1131"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$305,375</w:t>
            </w:r>
          </w:p>
        </w:tc>
        <w:tc>
          <w:tcPr>
            <w:tcW w:w="674" w:type="dxa"/>
            <w:tcBorders>
              <w:top w:val="nil"/>
              <w:left w:val="nil"/>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349</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31"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1</w:t>
            </w:r>
          </w:p>
        </w:tc>
        <w:tc>
          <w:tcPr>
            <w:tcW w:w="112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$889,000</w:t>
            </w:r>
          </w:p>
        </w:tc>
        <w:tc>
          <w:tcPr>
            <w:tcW w:w="674" w:type="dxa"/>
            <w:tcBorders>
              <w:top w:val="nil"/>
              <w:left w:val="nil"/>
              <w:bottom w:val="dotted" w:sz="4" w:space="0" w:color="000000"/>
              <w:right w:val="single"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1,016</w:t>
            </w:r>
          </w:p>
        </w:tc>
      </w:tr>
      <w:tr w:rsidR="00CB27F8" w:rsidRPr="00C00432" w:rsidTr="00CB27F8">
        <w:trPr>
          <w:trHeight w:val="525"/>
          <w:jc w:val="center"/>
        </w:trPr>
        <w:tc>
          <w:tcPr>
            <w:tcW w:w="675" w:type="dxa"/>
            <w:tcBorders>
              <w:top w:val="nil"/>
              <w:left w:val="single" w:sz="4" w:space="0" w:color="auto"/>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Pr>
                <w:rFonts w:eastAsia="Times New Roman"/>
              </w:rPr>
              <w:t>3</w:t>
            </w:r>
          </w:p>
        </w:tc>
        <w:tc>
          <w:tcPr>
            <w:tcW w:w="2525" w:type="dxa"/>
            <w:tcBorders>
              <w:top w:val="nil"/>
              <w:left w:val="nil"/>
              <w:bottom w:val="dotted" w:sz="4" w:space="0" w:color="000000"/>
              <w:right w:val="single" w:sz="4" w:space="0" w:color="auto"/>
            </w:tcBorders>
            <w:shd w:val="clear" w:color="auto" w:fill="auto"/>
            <w:vAlign w:val="center"/>
            <w:hideMark/>
          </w:tcPr>
          <w:p w:rsidR="00CB27F8" w:rsidRPr="00CB27F8" w:rsidRDefault="00CB27F8" w:rsidP="00CB27F8">
            <w:pPr>
              <w:pStyle w:val="Bullets"/>
              <w:numPr>
                <w:ilvl w:val="0"/>
                <w:numId w:val="0"/>
              </w:numPr>
              <w:spacing w:before="60" w:after="60"/>
              <w:jc w:val="center"/>
              <w:rPr>
                <w:sz w:val="20"/>
                <w:szCs w:val="20"/>
              </w:rPr>
            </w:pPr>
            <w:r w:rsidRPr="00CB27F8">
              <w:rPr>
                <w:sz w:val="20"/>
                <w:szCs w:val="20"/>
              </w:rPr>
              <w:t>IOU reviews feasibility study and approves application</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31"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31"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2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r>
      <w:tr w:rsidR="00CB27F8" w:rsidRPr="00C00432" w:rsidTr="00CB27F8">
        <w:trPr>
          <w:trHeight w:val="525"/>
          <w:jc w:val="center"/>
        </w:trPr>
        <w:tc>
          <w:tcPr>
            <w:tcW w:w="675" w:type="dxa"/>
            <w:tcBorders>
              <w:top w:val="nil"/>
              <w:left w:val="single" w:sz="4" w:space="0" w:color="auto"/>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Pr>
                <w:rFonts w:eastAsia="Times New Roman"/>
              </w:rPr>
              <w:t>4</w:t>
            </w:r>
          </w:p>
        </w:tc>
        <w:tc>
          <w:tcPr>
            <w:tcW w:w="2525" w:type="dxa"/>
            <w:tcBorders>
              <w:top w:val="nil"/>
              <w:left w:val="nil"/>
              <w:bottom w:val="dotted" w:sz="4" w:space="0" w:color="000000"/>
              <w:right w:val="single" w:sz="4" w:space="0" w:color="auto"/>
            </w:tcBorders>
            <w:shd w:val="clear" w:color="auto" w:fill="auto"/>
            <w:vAlign w:val="center"/>
            <w:hideMark/>
          </w:tcPr>
          <w:p w:rsidR="00CB27F8" w:rsidRPr="00CB27F8" w:rsidRDefault="00CB27F8" w:rsidP="00CB27F8">
            <w:pPr>
              <w:pStyle w:val="Bullets"/>
              <w:numPr>
                <w:ilvl w:val="0"/>
                <w:numId w:val="0"/>
              </w:numPr>
              <w:spacing w:before="60" w:after="60"/>
              <w:jc w:val="center"/>
              <w:rPr>
                <w:sz w:val="20"/>
                <w:szCs w:val="20"/>
              </w:rPr>
            </w:pPr>
            <w:r w:rsidRPr="00CB27F8">
              <w:rPr>
                <w:sz w:val="20"/>
                <w:szCs w:val="20"/>
              </w:rPr>
              <w:t>IOU conducts pre-installation inspection and sets aside incentive funds</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31"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31"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2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r>
      <w:tr w:rsidR="00CB27F8" w:rsidRPr="00C00432" w:rsidTr="00CB27F8">
        <w:trPr>
          <w:trHeight w:val="525"/>
          <w:jc w:val="center"/>
        </w:trPr>
        <w:tc>
          <w:tcPr>
            <w:tcW w:w="675" w:type="dxa"/>
            <w:tcBorders>
              <w:top w:val="nil"/>
              <w:left w:val="single" w:sz="4" w:space="0" w:color="auto"/>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Pr>
                <w:rFonts w:eastAsia="Times New Roman"/>
              </w:rPr>
              <w:t>5</w:t>
            </w:r>
          </w:p>
        </w:tc>
        <w:tc>
          <w:tcPr>
            <w:tcW w:w="2525" w:type="dxa"/>
            <w:tcBorders>
              <w:top w:val="nil"/>
              <w:left w:val="nil"/>
              <w:bottom w:val="dotted" w:sz="4" w:space="0" w:color="000000"/>
              <w:right w:val="single" w:sz="4" w:space="0" w:color="auto"/>
            </w:tcBorders>
            <w:shd w:val="clear" w:color="auto" w:fill="auto"/>
            <w:vAlign w:val="center"/>
            <w:hideMark/>
          </w:tcPr>
          <w:p w:rsidR="00CB27F8" w:rsidRPr="00CB27F8" w:rsidRDefault="00CB27F8" w:rsidP="00CB27F8">
            <w:pPr>
              <w:pStyle w:val="Bullets"/>
              <w:numPr>
                <w:ilvl w:val="0"/>
                <w:numId w:val="0"/>
              </w:numPr>
              <w:spacing w:before="60" w:after="60"/>
              <w:jc w:val="center"/>
              <w:rPr>
                <w:sz w:val="20"/>
                <w:szCs w:val="20"/>
              </w:rPr>
            </w:pPr>
            <w:r w:rsidRPr="00CB27F8">
              <w:rPr>
                <w:sz w:val="20"/>
                <w:szCs w:val="20"/>
              </w:rPr>
              <w:t>IOU and customer sign agreement (SCE only)</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31"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31"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2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r>
      <w:tr w:rsidR="00CB27F8" w:rsidRPr="00C00432" w:rsidTr="00CB27F8">
        <w:trPr>
          <w:trHeight w:val="525"/>
          <w:jc w:val="center"/>
        </w:trPr>
        <w:tc>
          <w:tcPr>
            <w:tcW w:w="675" w:type="dxa"/>
            <w:tcBorders>
              <w:top w:val="nil"/>
              <w:left w:val="single" w:sz="4" w:space="0" w:color="auto"/>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Pr>
                <w:rFonts w:eastAsia="Times New Roman"/>
              </w:rPr>
              <w:t>6</w:t>
            </w:r>
          </w:p>
        </w:tc>
        <w:tc>
          <w:tcPr>
            <w:tcW w:w="2525" w:type="dxa"/>
            <w:tcBorders>
              <w:top w:val="nil"/>
              <w:left w:val="nil"/>
              <w:bottom w:val="dotted" w:sz="4" w:space="0" w:color="000000"/>
              <w:right w:val="single" w:sz="4" w:space="0" w:color="auto"/>
            </w:tcBorders>
            <w:shd w:val="clear" w:color="auto" w:fill="auto"/>
            <w:vAlign w:val="center"/>
            <w:hideMark/>
          </w:tcPr>
          <w:p w:rsidR="00CB27F8" w:rsidRPr="00CB27F8" w:rsidRDefault="00CB27F8" w:rsidP="00CB27F8">
            <w:pPr>
              <w:pStyle w:val="Bullets"/>
              <w:numPr>
                <w:ilvl w:val="0"/>
                <w:numId w:val="0"/>
              </w:numPr>
              <w:spacing w:before="60" w:after="60"/>
              <w:jc w:val="center"/>
              <w:rPr>
                <w:sz w:val="20"/>
                <w:szCs w:val="20"/>
              </w:rPr>
            </w:pPr>
            <w:r w:rsidRPr="00CB27F8">
              <w:rPr>
                <w:sz w:val="20"/>
                <w:szCs w:val="20"/>
              </w:rPr>
              <w:t>Customer submits project design and installs PLS-TES system</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31"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31"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2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r>
      <w:tr w:rsidR="00CB27F8" w:rsidRPr="00C00432" w:rsidTr="00CB27F8">
        <w:trPr>
          <w:trHeight w:val="525"/>
          <w:jc w:val="center"/>
        </w:trPr>
        <w:tc>
          <w:tcPr>
            <w:tcW w:w="675" w:type="dxa"/>
            <w:tcBorders>
              <w:top w:val="nil"/>
              <w:left w:val="single" w:sz="4" w:space="0" w:color="auto"/>
              <w:bottom w:val="dotted" w:sz="4" w:space="0" w:color="000000"/>
              <w:right w:val="single" w:sz="4" w:space="0" w:color="auto"/>
            </w:tcBorders>
            <w:shd w:val="clear" w:color="auto" w:fill="auto"/>
            <w:noWrap/>
            <w:vAlign w:val="center"/>
            <w:hideMark/>
          </w:tcPr>
          <w:p w:rsidR="00CB27F8" w:rsidRPr="00C00432" w:rsidRDefault="00CB27F8" w:rsidP="00C66D15">
            <w:pPr>
              <w:pStyle w:val="TableText"/>
              <w:rPr>
                <w:rFonts w:eastAsia="Times New Roman"/>
              </w:rPr>
            </w:pPr>
            <w:r>
              <w:rPr>
                <w:rFonts w:eastAsia="Times New Roman"/>
              </w:rPr>
              <w:t>7</w:t>
            </w:r>
          </w:p>
        </w:tc>
        <w:tc>
          <w:tcPr>
            <w:tcW w:w="2525" w:type="dxa"/>
            <w:tcBorders>
              <w:top w:val="nil"/>
              <w:left w:val="nil"/>
              <w:bottom w:val="dotted" w:sz="4" w:space="0" w:color="000000"/>
              <w:right w:val="single" w:sz="4" w:space="0" w:color="auto"/>
            </w:tcBorders>
            <w:shd w:val="clear" w:color="auto" w:fill="auto"/>
            <w:vAlign w:val="center"/>
            <w:hideMark/>
          </w:tcPr>
          <w:p w:rsidR="00CB27F8" w:rsidRPr="00CB27F8" w:rsidRDefault="00CB27F8" w:rsidP="00CB27F8">
            <w:pPr>
              <w:pStyle w:val="Bullets"/>
              <w:numPr>
                <w:ilvl w:val="0"/>
                <w:numId w:val="0"/>
              </w:numPr>
              <w:spacing w:before="60" w:after="60"/>
              <w:jc w:val="center"/>
              <w:rPr>
                <w:sz w:val="20"/>
                <w:szCs w:val="20"/>
              </w:rPr>
            </w:pPr>
            <w:r w:rsidRPr="00CB27F8">
              <w:rPr>
                <w:sz w:val="20"/>
                <w:szCs w:val="20"/>
              </w:rPr>
              <w:t>Customer submits commissioning report</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C66D15">
            <w:pPr>
              <w:pStyle w:val="TableText"/>
              <w:rPr>
                <w:rFonts w:eastAsia="Times New Roman"/>
              </w:rPr>
            </w:pPr>
            <w:r w:rsidRPr="00C00432">
              <w:rPr>
                <w:rFonts w:eastAsia="Times New Roman"/>
              </w:rPr>
              <w:t> </w:t>
            </w:r>
          </w:p>
        </w:tc>
        <w:tc>
          <w:tcPr>
            <w:tcW w:w="1131"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C66D15">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auto"/>
            </w:tcBorders>
            <w:shd w:val="clear" w:color="auto" w:fill="auto"/>
            <w:noWrap/>
            <w:vAlign w:val="center"/>
            <w:hideMark/>
          </w:tcPr>
          <w:p w:rsidR="00CB27F8" w:rsidRPr="00C00432" w:rsidRDefault="00CB27F8" w:rsidP="00C66D15">
            <w:pPr>
              <w:pStyle w:val="TableText"/>
              <w:rPr>
                <w:rFonts w:eastAsia="Times New Roman"/>
              </w:rPr>
            </w:pPr>
            <w:r w:rsidRPr="00C00432">
              <w:rPr>
                <w:rFonts w:eastAsia="Times New Roman"/>
              </w:rPr>
              <w:t> </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C66D15">
            <w:pPr>
              <w:pStyle w:val="TableText"/>
              <w:rPr>
                <w:rFonts w:eastAsia="Times New Roman"/>
              </w:rPr>
            </w:pPr>
            <w:r w:rsidRPr="00C00432">
              <w:rPr>
                <w:rFonts w:eastAsia="Times New Roman"/>
              </w:rPr>
              <w:t> </w:t>
            </w:r>
          </w:p>
        </w:tc>
        <w:tc>
          <w:tcPr>
            <w:tcW w:w="1131"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C66D15">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auto"/>
            </w:tcBorders>
            <w:shd w:val="clear" w:color="auto" w:fill="auto"/>
            <w:noWrap/>
            <w:vAlign w:val="center"/>
            <w:hideMark/>
          </w:tcPr>
          <w:p w:rsidR="00CB27F8" w:rsidRPr="00C00432" w:rsidRDefault="00CB27F8" w:rsidP="00C66D15">
            <w:pPr>
              <w:pStyle w:val="TableText"/>
              <w:rPr>
                <w:rFonts w:eastAsia="Times New Roman"/>
              </w:rPr>
            </w:pPr>
            <w:r w:rsidRPr="00C00432">
              <w:rPr>
                <w:rFonts w:eastAsia="Times New Roman"/>
              </w:rPr>
              <w:t> </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C66D15">
            <w:pPr>
              <w:pStyle w:val="TableText"/>
              <w:rPr>
                <w:rFonts w:eastAsia="Times New Roman"/>
              </w:rPr>
            </w:pPr>
            <w:r w:rsidRPr="00C00432">
              <w:rPr>
                <w:rFonts w:eastAsia="Times New Roman"/>
              </w:rPr>
              <w:t> </w:t>
            </w:r>
          </w:p>
        </w:tc>
        <w:tc>
          <w:tcPr>
            <w:tcW w:w="112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C66D15">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000000"/>
            </w:tcBorders>
            <w:shd w:val="clear" w:color="auto" w:fill="auto"/>
            <w:noWrap/>
            <w:vAlign w:val="center"/>
            <w:hideMark/>
          </w:tcPr>
          <w:p w:rsidR="00CB27F8" w:rsidRPr="00C00432" w:rsidRDefault="00CB27F8" w:rsidP="00C66D15">
            <w:pPr>
              <w:pStyle w:val="TableText"/>
              <w:rPr>
                <w:rFonts w:eastAsia="Times New Roman"/>
              </w:rPr>
            </w:pPr>
            <w:r w:rsidRPr="00C00432">
              <w:rPr>
                <w:rFonts w:eastAsia="Times New Roman"/>
              </w:rPr>
              <w:t> </w:t>
            </w:r>
          </w:p>
        </w:tc>
      </w:tr>
      <w:tr w:rsidR="00CB27F8" w:rsidRPr="00C00432" w:rsidTr="00CB27F8">
        <w:trPr>
          <w:trHeight w:val="525"/>
          <w:jc w:val="center"/>
        </w:trPr>
        <w:tc>
          <w:tcPr>
            <w:tcW w:w="675" w:type="dxa"/>
            <w:tcBorders>
              <w:top w:val="nil"/>
              <w:left w:val="single" w:sz="4" w:space="0" w:color="auto"/>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Pr>
                <w:rFonts w:eastAsia="Times New Roman"/>
              </w:rPr>
              <w:t>8</w:t>
            </w:r>
          </w:p>
        </w:tc>
        <w:tc>
          <w:tcPr>
            <w:tcW w:w="2525" w:type="dxa"/>
            <w:tcBorders>
              <w:top w:val="nil"/>
              <w:left w:val="nil"/>
              <w:bottom w:val="dotted" w:sz="4" w:space="0" w:color="000000"/>
              <w:right w:val="single" w:sz="4" w:space="0" w:color="auto"/>
            </w:tcBorders>
            <w:shd w:val="clear" w:color="auto" w:fill="auto"/>
            <w:vAlign w:val="center"/>
            <w:hideMark/>
          </w:tcPr>
          <w:p w:rsidR="00CB27F8" w:rsidRPr="00CB27F8" w:rsidRDefault="00CB27F8" w:rsidP="00BC6370">
            <w:pPr>
              <w:spacing w:before="60" w:after="60"/>
              <w:jc w:val="center"/>
              <w:rPr>
                <w:rFonts w:eastAsia="Times New Roman" w:cs="Arial"/>
                <w:sz w:val="20"/>
                <w:szCs w:val="20"/>
              </w:rPr>
            </w:pPr>
            <w:r w:rsidRPr="00CB27F8">
              <w:rPr>
                <w:rFonts w:eastAsia="Times New Roman" w:cs="Arial"/>
                <w:sz w:val="20"/>
                <w:szCs w:val="20"/>
              </w:rPr>
              <w:t>IOU reviews commissioning report</w:t>
            </w:r>
            <w:r w:rsidR="00BC6370">
              <w:rPr>
                <w:rFonts w:eastAsia="Times New Roman" w:cs="Arial"/>
                <w:sz w:val="20"/>
                <w:szCs w:val="20"/>
              </w:rPr>
              <w:t xml:space="preserve"> and</w:t>
            </w:r>
            <w:r w:rsidRPr="00CB27F8">
              <w:rPr>
                <w:rFonts w:eastAsia="Times New Roman" w:cs="Arial"/>
                <w:sz w:val="20"/>
                <w:szCs w:val="20"/>
              </w:rPr>
              <w:t xml:space="preserve"> conducts post-installation inspection, tests and cost verifications</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31"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31"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4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20" w:type="dxa"/>
            <w:tcBorders>
              <w:top w:val="nil"/>
              <w:left w:val="nil"/>
              <w:bottom w:val="dotted" w:sz="4" w:space="0" w:color="000000"/>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dotted" w:sz="4" w:space="0" w:color="000000"/>
              <w:right w:val="single"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r>
      <w:tr w:rsidR="00CB27F8" w:rsidRPr="00C00432" w:rsidTr="00CB27F8">
        <w:trPr>
          <w:trHeight w:val="525"/>
          <w:jc w:val="center"/>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9</w:t>
            </w:r>
          </w:p>
        </w:tc>
        <w:tc>
          <w:tcPr>
            <w:tcW w:w="2525" w:type="dxa"/>
            <w:tcBorders>
              <w:top w:val="nil"/>
              <w:left w:val="nil"/>
              <w:bottom w:val="nil"/>
              <w:right w:val="single" w:sz="4" w:space="0" w:color="auto"/>
            </w:tcBorders>
            <w:shd w:val="clear" w:color="auto" w:fill="auto"/>
            <w:vAlign w:val="center"/>
            <w:hideMark/>
          </w:tcPr>
          <w:p w:rsidR="00CB27F8" w:rsidRPr="00CB27F8" w:rsidRDefault="00CB27F8" w:rsidP="00CB27F8">
            <w:pPr>
              <w:spacing w:before="60" w:after="60"/>
              <w:jc w:val="center"/>
              <w:rPr>
                <w:rFonts w:eastAsia="Times New Roman" w:cs="Arial"/>
                <w:sz w:val="20"/>
                <w:szCs w:val="20"/>
              </w:rPr>
            </w:pPr>
            <w:r w:rsidRPr="00CB27F8">
              <w:rPr>
                <w:sz w:val="20"/>
                <w:szCs w:val="20"/>
              </w:rPr>
              <w:t>Customer receives final PLS program incentive</w:t>
            </w:r>
          </w:p>
        </w:tc>
        <w:tc>
          <w:tcPr>
            <w:tcW w:w="640" w:type="dxa"/>
            <w:tcBorders>
              <w:top w:val="nil"/>
              <w:left w:val="nil"/>
              <w:bottom w:val="nil"/>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31" w:type="dxa"/>
            <w:tcBorders>
              <w:top w:val="nil"/>
              <w:left w:val="nil"/>
              <w:bottom w:val="nil"/>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nil"/>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40" w:type="dxa"/>
            <w:tcBorders>
              <w:top w:val="nil"/>
              <w:left w:val="nil"/>
              <w:bottom w:val="nil"/>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31" w:type="dxa"/>
            <w:tcBorders>
              <w:top w:val="nil"/>
              <w:left w:val="nil"/>
              <w:bottom w:val="nil"/>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nil"/>
              <w:right w:val="single" w:sz="4" w:space="0" w:color="auto"/>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40" w:type="dxa"/>
            <w:tcBorders>
              <w:top w:val="nil"/>
              <w:left w:val="nil"/>
              <w:bottom w:val="nil"/>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1120" w:type="dxa"/>
            <w:tcBorders>
              <w:top w:val="nil"/>
              <w:left w:val="nil"/>
              <w:bottom w:val="nil"/>
              <w:right w:val="dotted"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c>
          <w:tcPr>
            <w:tcW w:w="674" w:type="dxa"/>
            <w:tcBorders>
              <w:top w:val="nil"/>
              <w:left w:val="nil"/>
              <w:bottom w:val="nil"/>
              <w:right w:val="single" w:sz="4" w:space="0" w:color="000000"/>
            </w:tcBorders>
            <w:shd w:val="clear" w:color="auto" w:fill="auto"/>
            <w:noWrap/>
            <w:vAlign w:val="center"/>
            <w:hideMark/>
          </w:tcPr>
          <w:p w:rsidR="00CB27F8" w:rsidRPr="00C00432" w:rsidRDefault="00CB27F8" w:rsidP="0002323C">
            <w:pPr>
              <w:pStyle w:val="TableText"/>
              <w:rPr>
                <w:rFonts w:eastAsia="Times New Roman"/>
              </w:rPr>
            </w:pPr>
            <w:r w:rsidRPr="00C00432">
              <w:rPr>
                <w:rFonts w:eastAsia="Times New Roman"/>
              </w:rPr>
              <w:t> </w:t>
            </w:r>
          </w:p>
        </w:tc>
      </w:tr>
      <w:tr w:rsidR="002B16D8" w:rsidRPr="00C00432" w:rsidTr="002B16D8">
        <w:trPr>
          <w:trHeight w:val="525"/>
          <w:jc w:val="center"/>
        </w:trPr>
        <w:tc>
          <w:tcPr>
            <w:tcW w:w="32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B16D8" w:rsidRPr="00C00432" w:rsidRDefault="002B16D8" w:rsidP="0002323C">
            <w:pPr>
              <w:pStyle w:val="TableText"/>
              <w:rPr>
                <w:rFonts w:eastAsia="Times New Roman"/>
                <w:b/>
                <w:bCs/>
              </w:rPr>
            </w:pPr>
            <w:r w:rsidRPr="00C00432">
              <w:rPr>
                <w:rFonts w:eastAsia="Times New Roman"/>
                <w:b/>
                <w:bCs/>
              </w:rPr>
              <w:t>Total</w:t>
            </w:r>
          </w:p>
        </w:tc>
        <w:tc>
          <w:tcPr>
            <w:tcW w:w="640" w:type="dxa"/>
            <w:tcBorders>
              <w:top w:val="single" w:sz="4" w:space="0" w:color="auto"/>
              <w:left w:val="nil"/>
              <w:bottom w:val="single" w:sz="4" w:space="0" w:color="auto"/>
              <w:right w:val="dotted" w:sz="4" w:space="0" w:color="000000"/>
            </w:tcBorders>
            <w:shd w:val="clear" w:color="auto" w:fill="auto"/>
            <w:noWrap/>
            <w:vAlign w:val="center"/>
            <w:hideMark/>
          </w:tcPr>
          <w:p w:rsidR="002B16D8" w:rsidRPr="00C00432" w:rsidRDefault="002B16D8" w:rsidP="0002323C">
            <w:pPr>
              <w:pStyle w:val="TableText"/>
              <w:rPr>
                <w:rFonts w:eastAsia="Times New Roman"/>
                <w:b/>
                <w:bCs/>
              </w:rPr>
            </w:pPr>
            <w:r w:rsidRPr="00C00432">
              <w:rPr>
                <w:rFonts w:eastAsia="Times New Roman"/>
                <w:b/>
                <w:bCs/>
              </w:rPr>
              <w:t>8</w:t>
            </w:r>
          </w:p>
        </w:tc>
        <w:tc>
          <w:tcPr>
            <w:tcW w:w="1131" w:type="dxa"/>
            <w:tcBorders>
              <w:top w:val="single" w:sz="4" w:space="0" w:color="auto"/>
              <w:left w:val="nil"/>
              <w:bottom w:val="single" w:sz="4" w:space="0" w:color="auto"/>
              <w:right w:val="dotted" w:sz="4" w:space="0" w:color="000000"/>
            </w:tcBorders>
            <w:shd w:val="clear" w:color="auto" w:fill="auto"/>
            <w:noWrap/>
            <w:vAlign w:val="center"/>
            <w:hideMark/>
          </w:tcPr>
          <w:p w:rsidR="002B16D8" w:rsidRPr="00C00432" w:rsidRDefault="002B16D8" w:rsidP="0002323C">
            <w:pPr>
              <w:pStyle w:val="TableText"/>
              <w:rPr>
                <w:rFonts w:eastAsia="Times New Roman"/>
                <w:b/>
                <w:bCs/>
              </w:rPr>
            </w:pPr>
            <w:r w:rsidRPr="00C00432">
              <w:rPr>
                <w:rFonts w:eastAsia="Times New Roman"/>
                <w:b/>
                <w:bCs/>
              </w:rPr>
              <w:t>$4,725,700</w:t>
            </w:r>
          </w:p>
        </w:tc>
        <w:tc>
          <w:tcPr>
            <w:tcW w:w="674" w:type="dxa"/>
            <w:tcBorders>
              <w:top w:val="single" w:sz="4" w:space="0" w:color="auto"/>
              <w:left w:val="nil"/>
              <w:bottom w:val="single" w:sz="4" w:space="0" w:color="auto"/>
              <w:right w:val="single" w:sz="4" w:space="0" w:color="auto"/>
            </w:tcBorders>
            <w:shd w:val="clear" w:color="auto" w:fill="auto"/>
            <w:noWrap/>
            <w:vAlign w:val="center"/>
            <w:hideMark/>
          </w:tcPr>
          <w:p w:rsidR="002B16D8" w:rsidRPr="00C00432" w:rsidRDefault="002B16D8" w:rsidP="0002323C">
            <w:pPr>
              <w:pStyle w:val="TableText"/>
              <w:rPr>
                <w:rFonts w:eastAsia="Times New Roman"/>
                <w:b/>
                <w:bCs/>
              </w:rPr>
            </w:pPr>
            <w:r w:rsidRPr="00C00432">
              <w:rPr>
                <w:rFonts w:eastAsia="Times New Roman"/>
                <w:b/>
                <w:bCs/>
              </w:rPr>
              <w:t>5,401</w:t>
            </w:r>
          </w:p>
        </w:tc>
        <w:tc>
          <w:tcPr>
            <w:tcW w:w="640" w:type="dxa"/>
            <w:tcBorders>
              <w:top w:val="single" w:sz="4" w:space="0" w:color="auto"/>
              <w:left w:val="nil"/>
              <w:bottom w:val="single" w:sz="4" w:space="0" w:color="auto"/>
              <w:right w:val="dotted" w:sz="4" w:space="0" w:color="000000"/>
            </w:tcBorders>
            <w:shd w:val="clear" w:color="auto" w:fill="auto"/>
            <w:noWrap/>
            <w:vAlign w:val="center"/>
            <w:hideMark/>
          </w:tcPr>
          <w:p w:rsidR="002B16D8" w:rsidRPr="00C00432" w:rsidRDefault="002B16D8" w:rsidP="0002323C">
            <w:pPr>
              <w:pStyle w:val="TableText"/>
              <w:rPr>
                <w:rFonts w:eastAsia="Times New Roman"/>
                <w:b/>
                <w:bCs/>
              </w:rPr>
            </w:pPr>
            <w:r w:rsidRPr="00C00432">
              <w:rPr>
                <w:rFonts w:eastAsia="Times New Roman"/>
                <w:b/>
                <w:bCs/>
              </w:rPr>
              <w:t>4</w:t>
            </w:r>
          </w:p>
        </w:tc>
        <w:tc>
          <w:tcPr>
            <w:tcW w:w="1131" w:type="dxa"/>
            <w:tcBorders>
              <w:top w:val="single" w:sz="4" w:space="0" w:color="auto"/>
              <w:left w:val="nil"/>
              <w:bottom w:val="single" w:sz="4" w:space="0" w:color="auto"/>
              <w:right w:val="dotted" w:sz="4" w:space="0" w:color="000000"/>
            </w:tcBorders>
            <w:shd w:val="clear" w:color="auto" w:fill="auto"/>
            <w:noWrap/>
            <w:vAlign w:val="center"/>
            <w:hideMark/>
          </w:tcPr>
          <w:p w:rsidR="002B16D8" w:rsidRPr="00C00432" w:rsidRDefault="002B16D8" w:rsidP="0002323C">
            <w:pPr>
              <w:pStyle w:val="TableText"/>
              <w:rPr>
                <w:rFonts w:eastAsia="Times New Roman"/>
                <w:b/>
                <w:bCs/>
              </w:rPr>
            </w:pPr>
            <w:r w:rsidRPr="00C00432">
              <w:rPr>
                <w:rFonts w:eastAsia="Times New Roman"/>
                <w:b/>
                <w:bCs/>
              </w:rPr>
              <w:t>$1,934,700</w:t>
            </w:r>
          </w:p>
        </w:tc>
        <w:tc>
          <w:tcPr>
            <w:tcW w:w="674" w:type="dxa"/>
            <w:tcBorders>
              <w:top w:val="single" w:sz="4" w:space="0" w:color="auto"/>
              <w:left w:val="nil"/>
              <w:bottom w:val="single" w:sz="4" w:space="0" w:color="auto"/>
              <w:right w:val="single" w:sz="4" w:space="0" w:color="auto"/>
            </w:tcBorders>
            <w:shd w:val="clear" w:color="auto" w:fill="auto"/>
            <w:noWrap/>
            <w:vAlign w:val="center"/>
            <w:hideMark/>
          </w:tcPr>
          <w:p w:rsidR="002B16D8" w:rsidRPr="00C00432" w:rsidRDefault="002B16D8" w:rsidP="0002323C">
            <w:pPr>
              <w:pStyle w:val="TableText"/>
              <w:rPr>
                <w:rFonts w:eastAsia="Times New Roman"/>
                <w:b/>
                <w:bCs/>
              </w:rPr>
            </w:pPr>
            <w:r w:rsidRPr="00C00432">
              <w:rPr>
                <w:rFonts w:eastAsia="Times New Roman"/>
                <w:b/>
                <w:bCs/>
              </w:rPr>
              <w:t>4,040</w:t>
            </w:r>
          </w:p>
        </w:tc>
        <w:tc>
          <w:tcPr>
            <w:tcW w:w="640" w:type="dxa"/>
            <w:tcBorders>
              <w:top w:val="single" w:sz="4" w:space="0" w:color="auto"/>
              <w:left w:val="nil"/>
              <w:bottom w:val="single" w:sz="4" w:space="0" w:color="auto"/>
              <w:right w:val="dotted" w:sz="4" w:space="0" w:color="000000"/>
            </w:tcBorders>
            <w:shd w:val="clear" w:color="auto" w:fill="auto"/>
            <w:noWrap/>
            <w:vAlign w:val="center"/>
            <w:hideMark/>
          </w:tcPr>
          <w:p w:rsidR="002B16D8" w:rsidRPr="00C00432" w:rsidRDefault="002B16D8" w:rsidP="0002323C">
            <w:pPr>
              <w:pStyle w:val="TableText"/>
              <w:rPr>
                <w:rFonts w:eastAsia="Times New Roman"/>
                <w:b/>
                <w:bCs/>
              </w:rPr>
            </w:pPr>
            <w:r w:rsidRPr="00C00432">
              <w:rPr>
                <w:rFonts w:eastAsia="Times New Roman"/>
                <w:b/>
                <w:bCs/>
              </w:rPr>
              <w:t>1</w:t>
            </w:r>
          </w:p>
        </w:tc>
        <w:tc>
          <w:tcPr>
            <w:tcW w:w="1120" w:type="dxa"/>
            <w:tcBorders>
              <w:top w:val="single" w:sz="4" w:space="0" w:color="auto"/>
              <w:left w:val="nil"/>
              <w:bottom w:val="single" w:sz="4" w:space="0" w:color="auto"/>
              <w:right w:val="dotted" w:sz="4" w:space="0" w:color="000000"/>
            </w:tcBorders>
            <w:shd w:val="clear" w:color="auto" w:fill="auto"/>
            <w:noWrap/>
            <w:vAlign w:val="center"/>
            <w:hideMark/>
          </w:tcPr>
          <w:p w:rsidR="002B16D8" w:rsidRPr="00C00432" w:rsidRDefault="002B16D8" w:rsidP="0002323C">
            <w:pPr>
              <w:pStyle w:val="TableText"/>
              <w:rPr>
                <w:rFonts w:eastAsia="Times New Roman"/>
                <w:b/>
                <w:bCs/>
              </w:rPr>
            </w:pPr>
            <w:r w:rsidRPr="00C00432">
              <w:rPr>
                <w:rFonts w:eastAsia="Times New Roman"/>
                <w:b/>
                <w:bCs/>
              </w:rPr>
              <w:t>$889,000</w:t>
            </w:r>
          </w:p>
        </w:tc>
        <w:tc>
          <w:tcPr>
            <w:tcW w:w="674" w:type="dxa"/>
            <w:tcBorders>
              <w:top w:val="single" w:sz="4" w:space="0" w:color="auto"/>
              <w:left w:val="nil"/>
              <w:bottom w:val="single" w:sz="4" w:space="0" w:color="auto"/>
              <w:right w:val="single" w:sz="4" w:space="0" w:color="auto"/>
            </w:tcBorders>
            <w:shd w:val="clear" w:color="auto" w:fill="auto"/>
            <w:noWrap/>
            <w:vAlign w:val="center"/>
            <w:hideMark/>
          </w:tcPr>
          <w:p w:rsidR="002B16D8" w:rsidRPr="00C00432" w:rsidRDefault="002B16D8" w:rsidP="0002323C">
            <w:pPr>
              <w:pStyle w:val="TableText"/>
              <w:rPr>
                <w:rFonts w:eastAsia="Times New Roman"/>
                <w:b/>
                <w:bCs/>
              </w:rPr>
            </w:pPr>
            <w:r w:rsidRPr="00C00432">
              <w:rPr>
                <w:rFonts w:eastAsia="Times New Roman"/>
                <w:b/>
                <w:bCs/>
              </w:rPr>
              <w:t>1,016</w:t>
            </w:r>
          </w:p>
        </w:tc>
      </w:tr>
    </w:tbl>
    <w:p w:rsidR="00C54B6D" w:rsidRDefault="00C54B6D" w:rsidP="003F78F5">
      <w:pPr>
        <w:pStyle w:val="Heading2"/>
        <w:spacing w:before="360"/>
      </w:pPr>
      <w:bookmarkStart w:id="8" w:name="_Toc382926504"/>
      <w:r>
        <w:t>Confidentiality Concerns</w:t>
      </w:r>
      <w:bookmarkEnd w:id="8"/>
    </w:p>
    <w:p w:rsidR="00C54B6D" w:rsidRPr="00C54B6D" w:rsidRDefault="00C54B6D" w:rsidP="00C54B6D">
      <w:pPr>
        <w:pStyle w:val="BodyParagraph"/>
      </w:pPr>
      <w:r>
        <w:t xml:space="preserve">The </w:t>
      </w:r>
      <w:proofErr w:type="spellStart"/>
      <w:r>
        <w:t>ex ante</w:t>
      </w:r>
      <w:proofErr w:type="spellEnd"/>
      <w:r>
        <w:t xml:space="preserve"> forecast presented in this report is aggregated over two key sources of information – the 13 projects for which </w:t>
      </w:r>
      <w:r w:rsidR="000915F1">
        <w:t xml:space="preserve">complete </w:t>
      </w:r>
      <w:r>
        <w:t xml:space="preserve">applications have been received (identified projects) and the projects for which applications </w:t>
      </w:r>
      <w:r w:rsidR="000E6E74">
        <w:t>are forecasted</w:t>
      </w:r>
      <w:r>
        <w:t xml:space="preserve"> (</w:t>
      </w:r>
      <w:r w:rsidR="000915F1">
        <w:t xml:space="preserve">referred to as </w:t>
      </w:r>
      <w:r w:rsidRPr="000915F1">
        <w:rPr>
          <w:i/>
        </w:rPr>
        <w:t>unidentified projects</w:t>
      </w:r>
      <w:r>
        <w:t xml:space="preserve">). </w:t>
      </w:r>
      <w:r w:rsidR="00780872">
        <w:t xml:space="preserve"> T</w:t>
      </w:r>
      <w:r w:rsidR="008A320F">
        <w:t>his forecast has been developed based on discussion</w:t>
      </w:r>
      <w:r w:rsidR="00780872">
        <w:t>s</w:t>
      </w:r>
      <w:r w:rsidR="008A320F">
        <w:t xml:space="preserve"> with program and EM&amp;V staff at each </w:t>
      </w:r>
      <w:r w:rsidR="00780872">
        <w:t>u</w:t>
      </w:r>
      <w:r w:rsidR="008A320F">
        <w:t>tility.</w:t>
      </w:r>
      <w:r>
        <w:t xml:space="preserve"> </w:t>
      </w:r>
      <w:r w:rsidR="00780872">
        <w:t xml:space="preserve"> </w:t>
      </w:r>
      <w:r w:rsidR="00E678B5">
        <w:t>As a result, i</w:t>
      </w:r>
      <w:r w:rsidR="0082278C">
        <w:t xml:space="preserve">ncluding hourly impact estimates that are dominated by one or two large identified projects (in some cases) could reveal </w:t>
      </w:r>
      <w:r w:rsidR="00E678B5">
        <w:t>confidential</w:t>
      </w:r>
      <w:r w:rsidR="0082278C">
        <w:t xml:space="preserve"> information about </w:t>
      </w:r>
      <w:r w:rsidR="000915F1">
        <w:t>those customers</w:t>
      </w:r>
      <w:r w:rsidR="00E678B5">
        <w:t xml:space="preserve">.  Therefore, the </w:t>
      </w:r>
      <w:proofErr w:type="spellStart"/>
      <w:r w:rsidR="00E678B5">
        <w:t>ex ante</w:t>
      </w:r>
      <w:proofErr w:type="spellEnd"/>
      <w:r w:rsidR="00E678B5">
        <w:t xml:space="preserve"> impact estimates </w:t>
      </w:r>
      <w:r w:rsidR="00E678B5">
        <w:lastRenderedPageBreak/>
        <w:t xml:space="preserve">in this report focus on the summer peak period that is defined by the resource adequacy window </w:t>
      </w:r>
      <w:r w:rsidR="009967CB">
        <w:br/>
      </w:r>
      <w:r w:rsidR="00E678B5">
        <w:t>(1</w:t>
      </w:r>
      <w:r w:rsidR="009967CB">
        <w:t>–</w:t>
      </w:r>
      <w:r w:rsidR="00E678B5">
        <w:t>6 PM).</w:t>
      </w:r>
    </w:p>
    <w:p w:rsidR="001326D6" w:rsidRDefault="005E450D" w:rsidP="005E450D">
      <w:pPr>
        <w:pStyle w:val="Heading2"/>
      </w:pPr>
      <w:bookmarkStart w:id="9" w:name="_Toc382926505"/>
      <w:r>
        <w:t>Report Organization</w:t>
      </w:r>
      <w:bookmarkEnd w:id="9"/>
    </w:p>
    <w:p w:rsidR="005E450D" w:rsidRPr="005E450D" w:rsidRDefault="005E450D" w:rsidP="005E450D">
      <w:pPr>
        <w:pStyle w:val="BodyParagraph"/>
      </w:pPr>
      <w:r>
        <w:t>The remainder of this report</w:t>
      </w:r>
      <w:r w:rsidR="00F30265">
        <w:t xml:space="preserve"> proceeds as follows.  Section 2</w:t>
      </w:r>
      <w:r>
        <w:t xml:space="preserve"> summarizes the methodology for the evaluation.  </w:t>
      </w:r>
      <w:r w:rsidR="00F30265">
        <w:t>Section 3 provide</w:t>
      </w:r>
      <w:r w:rsidR="004A5BEF">
        <w:t>s a summary of key assumptions and the resulting enrollment forecast</w:t>
      </w:r>
      <w:r w:rsidR="00F30265">
        <w:t>.  Section 4</w:t>
      </w:r>
      <w:r w:rsidR="000654DC">
        <w:t xml:space="preserve"> provide</w:t>
      </w:r>
      <w:r w:rsidR="00F30265">
        <w:t>s</w:t>
      </w:r>
      <w:r>
        <w:t xml:space="preserve"> the </w:t>
      </w:r>
      <w:proofErr w:type="spellStart"/>
      <w:r>
        <w:t>ex ante</w:t>
      </w:r>
      <w:proofErr w:type="spellEnd"/>
      <w:r>
        <w:t xml:space="preserve"> load impact estimates </w:t>
      </w:r>
      <w:r w:rsidR="00F30265">
        <w:t>by utility.  Section 5</w:t>
      </w:r>
      <w:r>
        <w:t xml:space="preserve"> includes recommendations for</w:t>
      </w:r>
      <w:r w:rsidR="009967CB">
        <w:t> </w:t>
      </w:r>
      <w:r>
        <w:t>future evaluations.</w:t>
      </w:r>
      <w:r w:rsidR="000654DC">
        <w:t xml:space="preserve">  Finally, Appendix A summarizes the methodology for developing the </w:t>
      </w:r>
      <w:proofErr w:type="spellStart"/>
      <w:r w:rsidR="000654DC">
        <w:t>ex ante</w:t>
      </w:r>
      <w:proofErr w:type="spellEnd"/>
      <w:r w:rsidR="000654DC">
        <w:t xml:space="preserve"> conversion factors, which are key inputs for the analysis.  These ex ante conversion factors were developed in last year’s PLS evaluation, so Appendix A </w:t>
      </w:r>
      <w:r w:rsidR="00296D0C">
        <w:t>carries over</w:t>
      </w:r>
      <w:r w:rsidR="000654DC">
        <w:t xml:space="preserve"> that </w:t>
      </w:r>
      <w:r w:rsidR="00544767">
        <w:t>section</w:t>
      </w:r>
      <w:r w:rsidR="000654DC">
        <w:t xml:space="preserve"> from last year’s report.</w:t>
      </w:r>
    </w:p>
    <w:p w:rsidR="001326D6" w:rsidRDefault="001326D6" w:rsidP="009A16B1">
      <w:pPr>
        <w:pStyle w:val="BodyParagraph"/>
      </w:pPr>
    </w:p>
    <w:p w:rsidR="001B352B" w:rsidRDefault="001B352B">
      <w:pPr>
        <w:rPr>
          <w:rFonts w:ascii="Arial" w:hAnsi="Arial"/>
        </w:rPr>
      </w:pPr>
      <w:r>
        <w:br w:type="page"/>
      </w:r>
    </w:p>
    <w:p w:rsidR="00752687" w:rsidRDefault="00AE32C7" w:rsidP="00143E9F">
      <w:pPr>
        <w:pStyle w:val="Heading1"/>
      </w:pPr>
      <w:bookmarkStart w:id="10" w:name="_Toc382926506"/>
      <w:r>
        <w:lastRenderedPageBreak/>
        <w:t>Methodology</w:t>
      </w:r>
      <w:bookmarkEnd w:id="10"/>
    </w:p>
    <w:p w:rsidR="00BF594A" w:rsidRPr="00E65A42" w:rsidRDefault="00141F4F" w:rsidP="00BF594A">
      <w:pPr>
        <w:pStyle w:val="BodyParagraph"/>
      </w:pPr>
      <w:r>
        <w:t>The PLS program does not currently have existing installations that</w:t>
      </w:r>
      <w:r w:rsidR="002B4386">
        <w:t xml:space="preserve"> can be used</w:t>
      </w:r>
      <w:r w:rsidR="00BF594A" w:rsidRPr="00C92BC5">
        <w:t xml:space="preserve"> for modeling load impacts.  Each utility had a </w:t>
      </w:r>
      <w:r w:rsidR="001E122F">
        <w:t>pilot</w:t>
      </w:r>
      <w:r w:rsidR="00BF594A" w:rsidRPr="00C92BC5">
        <w:t xml:space="preserve"> </w:t>
      </w:r>
      <w:r w:rsidR="00BF594A" w:rsidRPr="00BF594A">
        <w:t>PLS program</w:t>
      </w:r>
      <w:r w:rsidR="005A0505">
        <w:t xml:space="preserve"> from 2007</w:t>
      </w:r>
      <w:r w:rsidR="00572BFF">
        <w:t xml:space="preserve"> through </w:t>
      </w:r>
      <w:r w:rsidR="005A0505">
        <w:t>2011</w:t>
      </w:r>
      <w:r w:rsidR="00BF594A" w:rsidRPr="00BF594A">
        <w:t>,</w:t>
      </w:r>
      <w:r w:rsidR="00572BFF">
        <w:t xml:space="preserve"> but the design of those programs differed from the current program design.  Therefore, the PLS installations from the prior pilot programs </w:t>
      </w:r>
      <w:r w:rsidR="00BF594A" w:rsidRPr="00BF594A">
        <w:t xml:space="preserve">do not provide useful information for forecasting load impacts for this program.  This is because the primary sources of uncertainty in the impact forecasts are not characteristics of customers who are likely to enroll or other attributes that could be observed in existing installations.  The primary sources of uncertainty are how many customers are likely to enroll in the new program, what size their </w:t>
      </w:r>
      <w:r w:rsidR="00BF594A" w:rsidRPr="00E65A42">
        <w:t>installations will be</w:t>
      </w:r>
      <w:r w:rsidRPr="00E65A42">
        <w:t>, when they will be installed</w:t>
      </w:r>
      <w:r w:rsidR="00BF594A" w:rsidRPr="00E65A42">
        <w:t xml:space="preserve"> and where they will be located.</w:t>
      </w:r>
    </w:p>
    <w:p w:rsidR="00D1196A" w:rsidRPr="00572BFF" w:rsidRDefault="00D1196A" w:rsidP="00141F4F">
      <w:pPr>
        <w:pStyle w:val="BodyParagraph"/>
      </w:pPr>
      <w:r w:rsidRPr="00572BFF">
        <w:t>To produce forecasts of load impacts</w:t>
      </w:r>
      <w:r w:rsidR="001F7DD4" w:rsidRPr="00572BFF">
        <w:t>,</w:t>
      </w:r>
      <w:r w:rsidRPr="00572BFF">
        <w:t xml:space="preserve"> we have used assumptions that are as consistent as possible with the best estimates of the program managers and EM&amp;V staff at each utility.  All these assumptions should be taken with a high degree of uncertainty </w:t>
      </w:r>
      <w:r w:rsidR="00141F4F" w:rsidRPr="00572BFF">
        <w:t>because projecting uptake</w:t>
      </w:r>
      <w:r w:rsidRPr="00572BFF">
        <w:t xml:space="preserve"> of any </w:t>
      </w:r>
      <w:r w:rsidR="00141F4F" w:rsidRPr="00572BFF">
        <w:t>utility program</w:t>
      </w:r>
      <w:r w:rsidRPr="00572BFF">
        <w:t xml:space="preserve"> is inherently uncertain</w:t>
      </w:r>
      <w:r w:rsidR="00141F4F" w:rsidRPr="00572BFF">
        <w:t>, especially when there are multiple stages in the application and verification process</w:t>
      </w:r>
      <w:r w:rsidR="001F7DD4" w:rsidRPr="00572BFF">
        <w:t xml:space="preserve"> that may require up to 24 months or more</w:t>
      </w:r>
      <w:r w:rsidR="00A56E31">
        <w:t xml:space="preserve"> to complete</w:t>
      </w:r>
      <w:r w:rsidRPr="00572BFF">
        <w:t xml:space="preserve">.  </w:t>
      </w:r>
      <w:r w:rsidR="00E80B45" w:rsidRPr="00572BFF">
        <w:t>Basically, there is not enough data to predict how many projects will be installed, how big those projects will be, where they will be located or when they will start up.  No market studies have been conducted to shed light on these uncertainties, and the enrollment process has not been active long enough to allow for accurate predictions.  This</w:t>
      </w:r>
      <w:r w:rsidRPr="00572BFF">
        <w:t xml:space="preserve"> uncertainty is com</w:t>
      </w:r>
      <w:r w:rsidR="00141F4F" w:rsidRPr="00572BFF">
        <w:t xml:space="preserve">pounded here by the fairly high </w:t>
      </w:r>
      <w:r w:rsidRPr="00572BFF">
        <w:t>investment</w:t>
      </w:r>
      <w:r w:rsidR="00141F4F" w:rsidRPr="00572BFF">
        <w:t xml:space="preserve"> cost</w:t>
      </w:r>
      <w:r w:rsidRPr="00572BFF">
        <w:t xml:space="preserve"> and </w:t>
      </w:r>
      <w:r w:rsidR="00141F4F" w:rsidRPr="00572BFF">
        <w:t>custom</w:t>
      </w:r>
      <w:r w:rsidRPr="00572BFF">
        <w:t xml:space="preserve"> nature of each installation.  Without a detailed assessment of any given site, it</w:t>
      </w:r>
      <w:r w:rsidR="00141F4F" w:rsidRPr="00572BFF">
        <w:t xml:space="preserve"> is</w:t>
      </w:r>
      <w:r w:rsidRPr="00572BFF">
        <w:t xml:space="preserve"> hard to know whether it would be a good candidate for PLS</w:t>
      </w:r>
      <w:r w:rsidR="00905726">
        <w:t>-TES installation</w:t>
      </w:r>
      <w:r w:rsidR="00E97668">
        <w:t>.</w:t>
      </w:r>
    </w:p>
    <w:p w:rsidR="00D1196A" w:rsidRPr="00E65A42" w:rsidRDefault="00962DF9" w:rsidP="00D1196A">
      <w:pPr>
        <w:pStyle w:val="BodyParagraph"/>
      </w:pPr>
      <w:r w:rsidRPr="00572BFF">
        <w:t>This evaluation attempts</w:t>
      </w:r>
      <w:r w:rsidR="00D1196A" w:rsidRPr="00572BFF">
        <w:t xml:space="preserve"> to </w:t>
      </w:r>
      <w:r w:rsidR="00141F4F" w:rsidRPr="00572BFF">
        <w:t>reflect this high degree of uncertainty in the forecast</w:t>
      </w:r>
      <w:r w:rsidR="00D1196A" w:rsidRPr="00572BFF">
        <w:t xml:space="preserve"> by providing low</w:t>
      </w:r>
      <w:r w:rsidR="00141F4F" w:rsidRPr="00572BFF">
        <w:t xml:space="preserve"> </w:t>
      </w:r>
      <w:r w:rsidR="00D1196A" w:rsidRPr="00572BFF">
        <w:t xml:space="preserve">case, </w:t>
      </w:r>
      <w:r w:rsidR="00141F4F" w:rsidRPr="00572BFF">
        <w:t xml:space="preserve">base </w:t>
      </w:r>
      <w:r w:rsidR="00D1196A" w:rsidRPr="00572BFF">
        <w:t>case and high</w:t>
      </w:r>
      <w:r w:rsidR="00141F4F" w:rsidRPr="00572BFF">
        <w:t xml:space="preserve"> case enrollment and load impact scenarios</w:t>
      </w:r>
      <w:r w:rsidR="00D1196A" w:rsidRPr="00572BFF">
        <w:t xml:space="preserve">.  The </w:t>
      </w:r>
      <w:r w:rsidR="00141F4F" w:rsidRPr="00572BFF">
        <w:t xml:space="preserve">base </w:t>
      </w:r>
      <w:r w:rsidR="00D1196A" w:rsidRPr="00572BFF">
        <w:t>case is</w:t>
      </w:r>
      <w:r w:rsidR="001F7DD4" w:rsidRPr="00572BFF">
        <w:t xml:space="preserve"> the expected</w:t>
      </w:r>
      <w:r w:rsidR="004D5A32" w:rsidRPr="00572BFF">
        <w:rPr>
          <w:rStyle w:val="FootnoteReference"/>
        </w:rPr>
        <w:footnoteReference w:id="5"/>
      </w:r>
      <w:r w:rsidR="001F7DD4" w:rsidRPr="00572BFF">
        <w:t xml:space="preserve"> value based on</w:t>
      </w:r>
      <w:r w:rsidR="00D1196A" w:rsidRPr="00572BFF">
        <w:t xml:space="preserve"> discussions with utility staff.  The low case is </w:t>
      </w:r>
      <w:r w:rsidR="007D73DD" w:rsidRPr="00572BFF">
        <w:t>a fore</w:t>
      </w:r>
      <w:r w:rsidR="001F7DD4" w:rsidRPr="00572BFF">
        <w:t>cast in which PLS program uptake</w:t>
      </w:r>
      <w:r w:rsidR="007D73DD" w:rsidRPr="00572BFF">
        <w:t xml:space="preserve"> is </w:t>
      </w:r>
      <w:r w:rsidR="001F7DD4" w:rsidRPr="00572BFF">
        <w:t>up to 50</w:t>
      </w:r>
      <w:r w:rsidR="007D73DD" w:rsidRPr="00572BFF">
        <w:t>% lower and the hig</w:t>
      </w:r>
      <w:r w:rsidR="001F7DD4" w:rsidRPr="00572BFF">
        <w:t>h case is up to 50%</w:t>
      </w:r>
      <w:r w:rsidR="007D73DD" w:rsidRPr="00572BFF">
        <w:t xml:space="preserve"> higher</w:t>
      </w:r>
      <w:r w:rsidR="00917BEF" w:rsidRPr="00572BFF">
        <w:t xml:space="preserve"> than the base case</w:t>
      </w:r>
      <w:r w:rsidR="007D73DD" w:rsidRPr="00572BFF">
        <w:t>, depending on utility expectations</w:t>
      </w:r>
      <w:r w:rsidR="00D1196A" w:rsidRPr="00572BFF">
        <w:t>.  Under the high scenario, customer enrollment would significantly exceed the current best guesses of program staff.  Similarly, under the low scenario, enrollment would fall short</w:t>
      </w:r>
      <w:r w:rsidR="007D73DD" w:rsidRPr="00572BFF">
        <w:t xml:space="preserve"> of utility expectations</w:t>
      </w:r>
      <w:r w:rsidR="00D1196A" w:rsidRPr="00572BFF">
        <w:t xml:space="preserve">.  Even this range may not fully cover the outcomes that the program </w:t>
      </w:r>
      <w:r w:rsidR="007D73DD" w:rsidRPr="00572BFF">
        <w:t xml:space="preserve">will </w:t>
      </w:r>
      <w:r w:rsidR="00D1196A" w:rsidRPr="00572BFF">
        <w:t xml:space="preserve">experience.  In a case like this with such high uncertainty, </w:t>
      </w:r>
      <w:r w:rsidR="007D73DD" w:rsidRPr="00572BFF">
        <w:t>it is likely that other stakeholders</w:t>
      </w:r>
      <w:r w:rsidR="00D1196A" w:rsidRPr="00572BFF">
        <w:t xml:space="preserve"> m</w:t>
      </w:r>
      <w:r w:rsidR="007D73DD" w:rsidRPr="00572BFF">
        <w:t>ay</w:t>
      </w:r>
      <w:r w:rsidR="00D1196A" w:rsidRPr="00572BFF">
        <w:t xml:space="preserve"> make different projections or consider different assumptions reasonable.  </w:t>
      </w:r>
      <w:r w:rsidR="007D73DD" w:rsidRPr="00572BFF">
        <w:t>To allow other stakeholders to understand how different assumptions may produce different values, this evaluation is</w:t>
      </w:r>
      <w:r w:rsidR="00D1196A" w:rsidRPr="00572BFF">
        <w:t xml:space="preserve"> as transparent </w:t>
      </w:r>
      <w:r w:rsidR="007D73DD" w:rsidRPr="00572BFF">
        <w:t>as possible about all of the</w:t>
      </w:r>
      <w:r w:rsidR="00D1196A" w:rsidRPr="00572BFF">
        <w:t xml:space="preserve"> </w:t>
      </w:r>
      <w:r w:rsidR="007D73DD" w:rsidRPr="00572BFF">
        <w:t>assumptions and about how the assumptions</w:t>
      </w:r>
      <w:r w:rsidR="00D1196A" w:rsidRPr="00572BFF">
        <w:t xml:space="preserve"> lead to </w:t>
      </w:r>
      <w:r w:rsidR="007D73DD" w:rsidRPr="00572BFF">
        <w:t>the</w:t>
      </w:r>
      <w:r w:rsidR="00D1196A" w:rsidRPr="00572BFF">
        <w:t xml:space="preserve"> ultimate load impact forecasts.</w:t>
      </w:r>
      <w:r w:rsidR="001F7DD4" w:rsidRPr="00572BFF">
        <w:t xml:space="preserve">  </w:t>
      </w:r>
      <w:r w:rsidRPr="00572BFF">
        <w:t>Therefore, a concise summary of assumptions by utility is provided in Section 3</w:t>
      </w:r>
      <w:r w:rsidR="001F7DD4" w:rsidRPr="00572BFF">
        <w:t>.</w:t>
      </w:r>
    </w:p>
    <w:p w:rsidR="00D1196A" w:rsidRDefault="00D1196A" w:rsidP="00D1196A">
      <w:pPr>
        <w:pStyle w:val="BodyParagraph"/>
      </w:pPr>
      <w:r w:rsidRPr="00E65A42">
        <w:t xml:space="preserve">The main alternative to the method </w:t>
      </w:r>
      <w:r w:rsidR="007D73DD" w:rsidRPr="00E65A42">
        <w:t>Nexant has</w:t>
      </w:r>
      <w:r w:rsidRPr="00E65A42">
        <w:t xml:space="preserve"> used would be to undertake a market research study to understand which customers would be likely to enroll in this</w:t>
      </w:r>
      <w:r w:rsidR="007D73DD" w:rsidRPr="00E65A42">
        <w:t xml:space="preserve"> program over the next year</w:t>
      </w:r>
      <w:r w:rsidRPr="00E65A42">
        <w:t>.  This would be substantially more complicated and expensive than the method used here</w:t>
      </w:r>
      <w:r w:rsidR="007D73DD" w:rsidRPr="00E65A42">
        <w:t>,</w:t>
      </w:r>
      <w:r w:rsidRPr="00E65A42">
        <w:t xml:space="preserve"> and it is not clear that it would produce substantially more precise estimates</w:t>
      </w:r>
      <w:r w:rsidR="007D73DD" w:rsidRPr="00E65A42">
        <w:t>,</w:t>
      </w:r>
      <w:r w:rsidRPr="00E65A42">
        <w:t xml:space="preserve"> due to the uncertainty in customers’ abilities to project their own </w:t>
      </w:r>
      <w:r w:rsidR="00962DF9">
        <w:t>up</w:t>
      </w:r>
      <w:r w:rsidR="007D73DD" w:rsidRPr="00E65A42">
        <w:t>t</w:t>
      </w:r>
      <w:r w:rsidR="00962DF9">
        <w:t>ak</w:t>
      </w:r>
      <w:r w:rsidR="007D73DD" w:rsidRPr="00E65A42">
        <w:t>e</w:t>
      </w:r>
      <w:r w:rsidRPr="00E65A42">
        <w:t xml:space="preserve"> of a</w:t>
      </w:r>
      <w:r w:rsidR="007D73DD" w:rsidRPr="00E65A42">
        <w:t xml:space="preserve"> new</w:t>
      </w:r>
      <w:r w:rsidRPr="00E65A42">
        <w:t xml:space="preserve"> program.  </w:t>
      </w:r>
      <w:r w:rsidR="00E97668">
        <w:t>Since</w:t>
      </w:r>
      <w:r w:rsidR="00E97668" w:rsidRPr="00E65A42">
        <w:t xml:space="preserve"> this type of study has not been done, the evaluation </w:t>
      </w:r>
      <w:r w:rsidR="00E97668" w:rsidRPr="00E65A42">
        <w:lastRenderedPageBreak/>
        <w:t xml:space="preserve">primarily relies on estimates from utility staff. </w:t>
      </w:r>
      <w:r w:rsidR="007D73DD" w:rsidRPr="00E65A42">
        <w:t xml:space="preserve"> In future PLS load impact evaluations, as more data on enrollment and system performance becomes available, the forecast will be refined and</w:t>
      </w:r>
      <w:r w:rsidR="007D73DD">
        <w:t xml:space="preserve"> the uncertainty will be reduced.</w:t>
      </w:r>
    </w:p>
    <w:p w:rsidR="00823292" w:rsidRDefault="005E0638" w:rsidP="00BF594A">
      <w:pPr>
        <w:pStyle w:val="BodyParagraph"/>
      </w:pPr>
      <w:r>
        <w:t>This evaluation forecasts lo</w:t>
      </w:r>
      <w:r w:rsidR="003A132A">
        <w:t>ad</w:t>
      </w:r>
      <w:r>
        <w:t xml:space="preserve"> impacts</w:t>
      </w:r>
      <w:r w:rsidR="001E122F">
        <w:t xml:space="preserve"> for two different types of projects</w:t>
      </w:r>
      <w:r w:rsidR="00153E98">
        <w:t xml:space="preserve"> –</w:t>
      </w:r>
      <w:r w:rsidR="001E122F">
        <w:t xml:space="preserve"> </w:t>
      </w:r>
      <w:r w:rsidR="00153E98">
        <w:t>i</w:t>
      </w:r>
      <w:r w:rsidR="001E122F">
        <w:t>dentified projects and unidentified projects</w:t>
      </w:r>
      <w:r w:rsidR="00BF594A" w:rsidRPr="00BF594A">
        <w:t xml:space="preserve">.  Identified projects include those </w:t>
      </w:r>
      <w:r w:rsidR="00B5222F">
        <w:t>for which</w:t>
      </w:r>
      <w:r w:rsidR="00DE168F">
        <w:t xml:space="preserve"> the customer has either completed a</w:t>
      </w:r>
      <w:r w:rsidR="00A56E31">
        <w:t> </w:t>
      </w:r>
      <w:r w:rsidR="00DE168F">
        <w:t>feasibility study or submitted a</w:t>
      </w:r>
      <w:r w:rsidR="00B5222F">
        <w:t xml:space="preserve"> complete</w:t>
      </w:r>
      <w:r w:rsidR="00DE168F">
        <w:t xml:space="preserve"> application.</w:t>
      </w:r>
      <w:r w:rsidR="00B5222F">
        <w:t xml:space="preserve"> </w:t>
      </w:r>
      <w:r w:rsidR="00DE168F">
        <w:t xml:space="preserve"> </w:t>
      </w:r>
      <w:r w:rsidR="001E122F">
        <w:t>Applications are submitted by potential PLS participants to initiate their enrollment in the program</w:t>
      </w:r>
      <w:r w:rsidR="00B5222F">
        <w:t>.  Each application</w:t>
      </w:r>
      <w:r w:rsidR="001E122F">
        <w:t xml:space="preserve"> include</w:t>
      </w:r>
      <w:r w:rsidR="00B5222F">
        <w:t>s</w:t>
      </w:r>
      <w:r w:rsidR="001E122F">
        <w:t xml:space="preserve"> an initial estimate of</w:t>
      </w:r>
      <w:r w:rsidR="00A56E31">
        <w:t> </w:t>
      </w:r>
      <w:r w:rsidR="00B5222F">
        <w:t>the proposed PLS</w:t>
      </w:r>
      <w:r w:rsidR="00E97668">
        <w:t>-TES</w:t>
      </w:r>
      <w:r w:rsidR="00B5222F">
        <w:t xml:space="preserve"> installation’s </w:t>
      </w:r>
      <w:r w:rsidR="001E122F">
        <w:t xml:space="preserve">load shifting capacity.  Feasibility studies are more in-depth analyses conducted by qualified engineers, and include a technical and </w:t>
      </w:r>
      <w:r w:rsidR="00B5222F">
        <w:t>cost</w:t>
      </w:r>
      <w:r w:rsidR="001E122F">
        <w:t xml:space="preserve"> analysis of the proposed project.  Completion of a feasibility study is the next step in the PLS approval process after the initial application has been submitted and approved</w:t>
      </w:r>
      <w:r w:rsidR="00DE168F">
        <w:t>.</w:t>
      </w:r>
    </w:p>
    <w:p w:rsidR="008F14F1" w:rsidRDefault="00BF594A" w:rsidP="00BF594A">
      <w:pPr>
        <w:pStyle w:val="BodyParagraph"/>
      </w:pPr>
      <w:r w:rsidRPr="00BF594A">
        <w:t xml:space="preserve">For </w:t>
      </w:r>
      <w:r w:rsidR="00B5222F">
        <w:t>identified projects</w:t>
      </w:r>
      <w:r w:rsidRPr="00BF594A">
        <w:t xml:space="preserve">, </w:t>
      </w:r>
      <w:r w:rsidR="00B5222F">
        <w:t xml:space="preserve">the </w:t>
      </w:r>
      <w:proofErr w:type="spellStart"/>
      <w:r w:rsidRPr="00BF594A">
        <w:t>ex ante</w:t>
      </w:r>
      <w:proofErr w:type="spellEnd"/>
      <w:r w:rsidR="00153E98">
        <w:t xml:space="preserve"> load impacts </w:t>
      </w:r>
      <w:r w:rsidR="00165103">
        <w:t xml:space="preserve">are </w:t>
      </w:r>
      <w:r w:rsidR="00153E98">
        <w:t>allocated to</w:t>
      </w:r>
      <w:r w:rsidRPr="00BF594A">
        <w:t xml:space="preserve"> speci</w:t>
      </w:r>
      <w:r w:rsidR="008F14F1">
        <w:t>fic local capacity areas</w:t>
      </w:r>
      <w:r w:rsidR="00B5222F">
        <w:rPr>
          <w:rStyle w:val="FootnoteReference"/>
        </w:rPr>
        <w:footnoteReference w:id="6"/>
      </w:r>
      <w:r w:rsidR="008F14F1">
        <w:t xml:space="preserve"> (LCAs)</w:t>
      </w:r>
      <w:r w:rsidR="00153E98">
        <w:t xml:space="preserve"> </w:t>
      </w:r>
      <w:r w:rsidR="00E97668">
        <w:t>because the actual location of the PLS-TES system installation is known</w:t>
      </w:r>
      <w:r w:rsidR="008F14F1">
        <w:t xml:space="preserve">.  </w:t>
      </w:r>
      <w:r w:rsidR="00165103">
        <w:t>While this information on where identified projects will be installed reduces some uncertainty in the forecast,</w:t>
      </w:r>
      <w:r w:rsidR="00B5222F">
        <w:t xml:space="preserve"> there is still </w:t>
      </w:r>
      <w:r w:rsidR="00165103">
        <w:t xml:space="preserve">substantial </w:t>
      </w:r>
      <w:r w:rsidR="00B5222F">
        <w:t xml:space="preserve">uncertainty regarding whether the project will </w:t>
      </w:r>
      <w:r w:rsidR="00897CE9">
        <w:t xml:space="preserve">successfully </w:t>
      </w:r>
      <w:r w:rsidR="00B5222F">
        <w:t>go through</w:t>
      </w:r>
      <w:r w:rsidR="00897CE9">
        <w:t xml:space="preserve"> the entire verification process</w:t>
      </w:r>
      <w:r w:rsidR="00165103">
        <w:t>, given that no projects have made it through the</w:t>
      </w:r>
      <w:r w:rsidR="00917BEF">
        <w:t xml:space="preserve"> complete</w:t>
      </w:r>
      <w:r w:rsidR="00165103">
        <w:t xml:space="preserve"> process yet</w:t>
      </w:r>
      <w:r w:rsidR="00917BEF">
        <w:t xml:space="preserve">, </w:t>
      </w:r>
      <w:r w:rsidR="004D5A32">
        <w:t>including</w:t>
      </w:r>
      <w:r w:rsidR="00917BEF">
        <w:t xml:space="preserve"> installation stage</w:t>
      </w:r>
      <w:r w:rsidR="008F14F1">
        <w:t xml:space="preserve">.  </w:t>
      </w:r>
      <w:r w:rsidR="00897CE9">
        <w:t>The identified projects also have an expectation of the installation date</w:t>
      </w:r>
      <w:r w:rsidR="008F14F1">
        <w:t xml:space="preserve"> (either in the application or the feasibility study, if available), </w:t>
      </w:r>
      <w:r w:rsidR="00897CE9">
        <w:t>but those dates may change throughout the verification process.</w:t>
      </w:r>
    </w:p>
    <w:p w:rsidR="00BF594A" w:rsidRPr="00BF594A" w:rsidRDefault="00BF594A" w:rsidP="00BF594A">
      <w:pPr>
        <w:pStyle w:val="BodyParagraph"/>
      </w:pPr>
      <w:r w:rsidRPr="00BF594A">
        <w:t xml:space="preserve">Unidentified projects, on the other hand, </w:t>
      </w:r>
      <w:r w:rsidR="004D5A32">
        <w:t>are</w:t>
      </w:r>
      <w:r w:rsidR="00917BEF">
        <w:t xml:space="preserve"> projects </w:t>
      </w:r>
      <w:r w:rsidR="003A132A">
        <w:t>that have</w:t>
      </w:r>
      <w:r w:rsidR="00917BEF">
        <w:t xml:space="preserve"> been </w:t>
      </w:r>
      <w:r w:rsidR="004D5A32">
        <w:t>forecasted</w:t>
      </w:r>
      <w:r w:rsidR="00917BEF">
        <w:t xml:space="preserve"> based on assumptions </w:t>
      </w:r>
      <w:r w:rsidR="004D5A32">
        <w:t>developed with</w:t>
      </w:r>
      <w:r w:rsidR="00917BEF">
        <w:t xml:space="preserve"> </w:t>
      </w:r>
      <w:r w:rsidR="004D5A32">
        <w:t>the PLS program managers</w:t>
      </w:r>
      <w:r w:rsidR="00917BEF">
        <w:t xml:space="preserve"> and EM&amp;V staff</w:t>
      </w:r>
      <w:r w:rsidR="004D5A32">
        <w:t>,</w:t>
      </w:r>
      <w:r w:rsidR="00917BEF">
        <w:t xml:space="preserve"> as discussed above</w:t>
      </w:r>
      <w:r w:rsidR="008318CF">
        <w:t xml:space="preserve">.  </w:t>
      </w:r>
      <w:r w:rsidR="004D5A32">
        <w:t>The forecast of unidentified projects is based on the number of a</w:t>
      </w:r>
      <w:r w:rsidR="008318CF">
        <w:t>pplications</w:t>
      </w:r>
      <w:r w:rsidR="004D5A32">
        <w:t xml:space="preserve"> that</w:t>
      </w:r>
      <w:r w:rsidR="008318CF">
        <w:t xml:space="preserve"> are expected to be submitted by </w:t>
      </w:r>
      <w:r w:rsidR="009E5BC1">
        <w:t xml:space="preserve">the end of 2016 for SDG&amp;E and by </w:t>
      </w:r>
      <w:r w:rsidR="008318CF">
        <w:t xml:space="preserve">the </w:t>
      </w:r>
      <w:r w:rsidR="009E5BC1">
        <w:t>end of 2014 for PG&amp;E and SCE</w:t>
      </w:r>
      <w:r w:rsidR="008318CF">
        <w:t>.</w:t>
      </w:r>
      <w:r w:rsidR="009E5BC1">
        <w:rPr>
          <w:rStyle w:val="FootnoteReference"/>
        </w:rPr>
        <w:footnoteReference w:id="7"/>
      </w:r>
      <w:r w:rsidRPr="00BF594A">
        <w:t xml:space="preserve">  For </w:t>
      </w:r>
      <w:r w:rsidR="00897CE9">
        <w:t>unidentified</w:t>
      </w:r>
      <w:r w:rsidRPr="00BF594A">
        <w:t xml:space="preserve"> projects, the number and size of the installations could be estimated for a range of scenarios</w:t>
      </w:r>
      <w:r w:rsidR="00897CE9">
        <w:t>,</w:t>
      </w:r>
      <w:r w:rsidRPr="00BF594A">
        <w:t xml:space="preserve"> based on the expected percentage </w:t>
      </w:r>
      <w:r w:rsidR="009E5BC1">
        <w:t xml:space="preserve">of each utility’s </w:t>
      </w:r>
      <w:r w:rsidRPr="00BF594A">
        <w:t>incentiv</w:t>
      </w:r>
      <w:r w:rsidR="00F50555">
        <w:t>e budget that will be spent</w:t>
      </w:r>
      <w:r w:rsidR="00897CE9">
        <w:t xml:space="preserve"> (similar to last year’s approach)</w:t>
      </w:r>
      <w:r w:rsidR="00F50555">
        <w:t>.  However,</w:t>
      </w:r>
      <w:r w:rsidRPr="00BF594A">
        <w:t xml:space="preserve"> ad</w:t>
      </w:r>
      <w:r w:rsidR="00823292">
        <w:t>ditional assumptions were</w:t>
      </w:r>
      <w:r w:rsidRPr="00BF594A">
        <w:t xml:space="preserve"> needed to estimate the pace of project startups and the allocation of load</w:t>
      </w:r>
      <w:r w:rsidR="00C452BD">
        <w:t> </w:t>
      </w:r>
      <w:r w:rsidR="00F50555">
        <w:t>impacts across different LCAs, since load impacts are location and weather dependent.</w:t>
      </w:r>
    </w:p>
    <w:p w:rsidR="00BF594A" w:rsidRPr="00BF594A" w:rsidRDefault="00BF594A" w:rsidP="00BF594A">
      <w:pPr>
        <w:pStyle w:val="BodyParagraph"/>
      </w:pPr>
      <w:r w:rsidRPr="00BF594A">
        <w:t xml:space="preserve">Because the </w:t>
      </w:r>
      <w:r w:rsidR="001C752A">
        <w:t xml:space="preserve">number and size of </w:t>
      </w:r>
      <w:r w:rsidRPr="00BF594A">
        <w:t>identified projects varied greatly between each IOU, the approach used to evaluate the program impacts was tailored to the amount of information that was available for each IOU.  Primarily, the number and diversity of applications determined the methodology that was used to generate load impacts for identified projects.  The methodology for determining load impacts from unidentified projects was uniform across the three IOUs, though the specific assumptions for these impacts varied and were partially informed by the applications that were received in each IOU.</w:t>
      </w:r>
    </w:p>
    <w:p w:rsidR="00BF594A" w:rsidRPr="00BF594A" w:rsidRDefault="00897CE9" w:rsidP="00BF594A">
      <w:pPr>
        <w:pStyle w:val="BodyParagraph"/>
      </w:pPr>
      <w:r>
        <w:t xml:space="preserve">The following subsections </w:t>
      </w:r>
      <w:r w:rsidR="00BF594A" w:rsidRPr="00BF594A">
        <w:t>describe the methodology used to estimate the load impacts for unidentified projects (which was uniform across all IOUs) and the IOU-specific methodologies for estimating load impacts for identified projects.</w:t>
      </w:r>
    </w:p>
    <w:p w:rsidR="00BF594A" w:rsidRDefault="00BF594A" w:rsidP="00BF594A">
      <w:pPr>
        <w:pStyle w:val="Heading2"/>
      </w:pPr>
      <w:bookmarkStart w:id="11" w:name="_Toc382926507"/>
      <w:r>
        <w:lastRenderedPageBreak/>
        <w:t>Unidentified Projects</w:t>
      </w:r>
      <w:bookmarkEnd w:id="11"/>
    </w:p>
    <w:p w:rsidR="00BF594A" w:rsidRPr="00BF594A" w:rsidRDefault="00BF594A" w:rsidP="00BF594A">
      <w:pPr>
        <w:pStyle w:val="BodyParagraph"/>
      </w:pPr>
      <w:r w:rsidRPr="00BF594A">
        <w:t xml:space="preserve">This year’s methodology </w:t>
      </w:r>
      <w:r w:rsidR="0080456A">
        <w:t>for un</w:t>
      </w:r>
      <w:r w:rsidR="001A200E">
        <w:t>id</w:t>
      </w:r>
      <w:r w:rsidR="0080456A">
        <w:t>e</w:t>
      </w:r>
      <w:r w:rsidR="001A200E">
        <w:t>nt</w:t>
      </w:r>
      <w:r w:rsidR="0080456A">
        <w:t xml:space="preserve">ified projects </w:t>
      </w:r>
      <w:r w:rsidRPr="00BF594A">
        <w:t xml:space="preserve">was similar to that of the 2012 ex ante PLS evaluation, as they both attempted to quantify load impacts for customers whose building characteristics, location, project timing and load patterns are </w:t>
      </w:r>
      <w:r w:rsidR="001A200E">
        <w:t>unknown.  As in</w:t>
      </w:r>
      <w:r w:rsidRPr="00BF594A">
        <w:t xml:space="preserve"> last year</w:t>
      </w:r>
      <w:r w:rsidR="001A200E">
        <w:t>’s PLS evaluation</w:t>
      </w:r>
      <w:r w:rsidRPr="00BF594A">
        <w:t xml:space="preserve">, because the main uncertainty is the number and size of projects that will be included in the program, a range of scenarios was generated for each IOU in order to capture the uncertainty related to </w:t>
      </w:r>
      <w:r w:rsidR="0080456A">
        <w:t>market</w:t>
      </w:r>
      <w:r w:rsidRPr="00BF594A">
        <w:t xml:space="preserve"> adoption of PLS</w:t>
      </w:r>
      <w:r w:rsidR="00E97668">
        <w:t>-TES</w:t>
      </w:r>
      <w:r w:rsidRPr="00BF594A">
        <w:t xml:space="preserve"> technologies.</w:t>
      </w:r>
    </w:p>
    <w:p w:rsidR="00DC0CC9" w:rsidRDefault="00DC0CC9" w:rsidP="00BF594A">
      <w:pPr>
        <w:pStyle w:val="BodyParagraph"/>
      </w:pPr>
      <w:r>
        <w:t>Figure 2-1 summarizes the methodology for estimating ex ante load impacts for unidentified PLS projects.  The three steps for estimating ex ante load impacts</w:t>
      </w:r>
      <w:r w:rsidR="001A200E">
        <w:t xml:space="preserve"> for unidentified projects</w:t>
      </w:r>
      <w:r>
        <w:t xml:space="preserve"> are:</w:t>
      </w:r>
    </w:p>
    <w:p w:rsidR="00DC0CC9" w:rsidRDefault="00BE419E" w:rsidP="0002323C">
      <w:pPr>
        <w:pStyle w:val="Bullets"/>
      </w:pPr>
      <w:r>
        <w:rPr>
          <w:b/>
        </w:rPr>
        <w:t xml:space="preserve">Step 1 </w:t>
      </w:r>
      <w:r>
        <w:t>involves f</w:t>
      </w:r>
      <w:r w:rsidR="00DC0CC9">
        <w:t>orecast</w:t>
      </w:r>
      <w:r>
        <w:t>ing</w:t>
      </w:r>
      <w:r w:rsidR="00DC0CC9">
        <w:t xml:space="preserve"> the amount of incentive dollars that will be spent on unidentified projects for each IOU</w:t>
      </w:r>
      <w:r>
        <w:t xml:space="preserve">.  The first key input for this calculation is the </w:t>
      </w:r>
      <w:r w:rsidR="001F5513">
        <w:t>total PLS budget for each IOU.  The total budget</w:t>
      </w:r>
      <w:r>
        <w:t xml:space="preserve"> amount is multiplied by </w:t>
      </w:r>
      <w:r w:rsidRPr="00BF594A">
        <w:t>the percentage of each IOU’s budget that will be committed to projects by the end of 2014</w:t>
      </w:r>
      <w:r>
        <w:t xml:space="preserve"> (for PG&amp;E and SCE) or </w:t>
      </w:r>
      <w:r w:rsidR="0031330B">
        <w:t xml:space="preserve">by </w:t>
      </w:r>
      <w:r>
        <w:t>the end of 2016 (for SDG&amp;E), under the low, base case and high scenarios.</w:t>
      </w:r>
      <w:r>
        <w:rPr>
          <w:rStyle w:val="FootnoteReference"/>
        </w:rPr>
        <w:footnoteReference w:id="8"/>
      </w:r>
      <w:r>
        <w:t xml:space="preserve">  Finally, the budget that has been committed to identified projects is subtracted from that expected budget spend</w:t>
      </w:r>
      <w:r w:rsidR="001F5513">
        <w:t>, which produces the forecast of incentive</w:t>
      </w:r>
      <w:r w:rsidR="0031330B">
        <w:t>s to be</w:t>
      </w:r>
      <w:r w:rsidR="001F5513">
        <w:t xml:space="preserve"> spent on unidentified projects</w:t>
      </w:r>
      <w:r w:rsidR="00AA7D6E">
        <w:t>.</w:t>
      </w:r>
    </w:p>
    <w:p w:rsidR="00DC0CC9" w:rsidRPr="00025AC5" w:rsidRDefault="00DC0CC9" w:rsidP="0002323C">
      <w:pPr>
        <w:pStyle w:val="Bullets"/>
      </w:pPr>
      <w:r w:rsidRPr="00BE419E">
        <w:rPr>
          <w:b/>
        </w:rPr>
        <w:t>Step 2</w:t>
      </w:r>
      <w:r w:rsidR="001F5513">
        <w:rPr>
          <w:b/>
        </w:rPr>
        <w:t xml:space="preserve"> </w:t>
      </w:r>
      <w:r w:rsidR="001F5513" w:rsidRPr="00962E4A">
        <w:t xml:space="preserve">converts the incentive dollar forecast into </w:t>
      </w:r>
      <w:r w:rsidR="00962E4A">
        <w:t xml:space="preserve">the </w:t>
      </w:r>
      <w:proofErr w:type="spellStart"/>
      <w:r w:rsidR="001F5513" w:rsidRPr="00962E4A">
        <w:t>ex ante</w:t>
      </w:r>
      <w:proofErr w:type="spellEnd"/>
      <w:r w:rsidR="001F5513" w:rsidRPr="00962E4A">
        <w:t xml:space="preserve"> load impact estimates</w:t>
      </w:r>
      <w:r w:rsidR="00962E4A">
        <w:t>.  To do this,</w:t>
      </w:r>
      <w:r w:rsidR="00A56E31">
        <w:t> </w:t>
      </w:r>
      <w:r w:rsidR="00962E4A">
        <w:t xml:space="preserve">the </w:t>
      </w:r>
      <w:r>
        <w:t>forecast of incentive dollars spent</w:t>
      </w:r>
      <w:r w:rsidR="00962E4A">
        <w:t xml:space="preserve"> on unidentified projects is divided by the incentive amount per kW</w:t>
      </w:r>
      <w:r w:rsidR="00917E47">
        <w:t xml:space="preserve"> load shift</w:t>
      </w:r>
      <w:r w:rsidR="00962E4A">
        <w:t xml:space="preserve"> ($875</w:t>
      </w:r>
      <w:r w:rsidR="00917E47">
        <w:t>/kW</w:t>
      </w:r>
      <w:r w:rsidR="00962E4A">
        <w:t xml:space="preserve">).  </w:t>
      </w:r>
      <w:r w:rsidR="00917E47">
        <w:t>Per the program design, this kW load shift amount represents the peak load shift</w:t>
      </w:r>
      <w:r w:rsidR="0030615C">
        <w:rPr>
          <w:rStyle w:val="FootnoteReference"/>
        </w:rPr>
        <w:footnoteReference w:id="9"/>
      </w:r>
      <w:r w:rsidR="00917E47">
        <w:t xml:space="preserve"> that can be expected under ASHRAE 2% weather conditions</w:t>
      </w:r>
      <w:r w:rsidR="00A56E31">
        <w:t>.</w:t>
      </w:r>
      <w:r w:rsidR="00B35801">
        <w:rPr>
          <w:rStyle w:val="FootnoteReference"/>
        </w:rPr>
        <w:footnoteReference w:id="10"/>
      </w:r>
      <w:r w:rsidR="00917E47">
        <w:t xml:space="preserve">  </w:t>
      </w:r>
      <w:r w:rsidR="00AA7D6E">
        <w:t xml:space="preserve">The kW load shift is multiplied by the </w:t>
      </w:r>
      <w:proofErr w:type="spellStart"/>
      <w:r w:rsidR="00AA7D6E">
        <w:t>ex ante</w:t>
      </w:r>
      <w:proofErr w:type="spellEnd"/>
      <w:r w:rsidR="00AA7D6E">
        <w:t xml:space="preserve"> </w:t>
      </w:r>
      <w:r w:rsidR="009A3834">
        <w:t>conversion factors</w:t>
      </w:r>
      <w:r w:rsidR="00AA7D6E">
        <w:t xml:space="preserve">, which convert the load shift under ASHRAE 2% weather conditions to the </w:t>
      </w:r>
      <w:proofErr w:type="spellStart"/>
      <w:r>
        <w:t>ex ante</w:t>
      </w:r>
      <w:proofErr w:type="spellEnd"/>
      <w:r>
        <w:t xml:space="preserve"> load impact estimates</w:t>
      </w:r>
      <w:r w:rsidR="00BE419E">
        <w:t xml:space="preserve"> for monthly system peak days and average weekdays under 1-in-2 and 1-in-10 weather conditions (as per the California DR Load Impact </w:t>
      </w:r>
      <w:r w:rsidR="00AA7D6E">
        <w:t>Protocols).</w:t>
      </w:r>
      <w:r w:rsidR="0031330B">
        <w:t xml:space="preserve">  These conversion factors vary from 0.5 to 2 from June through September, so they do not change the initial kW load shift by more than 50%.</w:t>
      </w:r>
    </w:p>
    <w:p w:rsidR="00025AC5" w:rsidRDefault="009A3834" w:rsidP="0002323C">
      <w:pPr>
        <w:pStyle w:val="BulletLast"/>
      </w:pPr>
      <w:r w:rsidRPr="0002323C">
        <w:rPr>
          <w:b/>
        </w:rPr>
        <w:t>Step 3</w:t>
      </w:r>
      <w:r w:rsidRPr="00025AC5">
        <w:t xml:space="preserve"> is to f</w:t>
      </w:r>
      <w:r w:rsidR="00BE419E" w:rsidRPr="00025AC5">
        <w:t>orecast when each expected PLS</w:t>
      </w:r>
      <w:r w:rsidR="00E97668">
        <w:t>-TES</w:t>
      </w:r>
      <w:r w:rsidR="00BE419E" w:rsidRPr="00025AC5">
        <w:t xml:space="preserve"> installation will come online</w:t>
      </w:r>
      <w:r w:rsidR="00025AC5" w:rsidRPr="00025AC5">
        <w:t>,</w:t>
      </w:r>
      <w:r w:rsidR="00BE419E" w:rsidRPr="00025AC5">
        <w:t xml:space="preserve"> based on slightly different assumptions for each utility</w:t>
      </w:r>
      <w:r w:rsidR="00025AC5" w:rsidRPr="00025AC5">
        <w:t xml:space="preserve"> (described below)</w:t>
      </w:r>
      <w:r w:rsidR="00BE419E" w:rsidRPr="00025AC5">
        <w:t>.</w:t>
      </w:r>
      <w:r w:rsidR="00025AC5" w:rsidRPr="00025AC5">
        <w:t xml:space="preserve"> </w:t>
      </w:r>
      <w:r w:rsidR="0031330B">
        <w:t xml:space="preserve"> </w:t>
      </w:r>
      <w:r w:rsidR="00025AC5" w:rsidRPr="00025AC5">
        <w:t>The time between when an application is received and when the installation and verification are completed</w:t>
      </w:r>
      <w:r w:rsidR="00025AC5">
        <w:t xml:space="preserve"> varies from 12 to 24 months, so projects do not come online until 2015 or later.  Five years after each forecasted PLS</w:t>
      </w:r>
      <w:r w:rsidR="00E97668">
        <w:t>-TES</w:t>
      </w:r>
      <w:r w:rsidR="00025AC5">
        <w:t xml:space="preserve"> installation, the </w:t>
      </w:r>
      <w:proofErr w:type="spellStart"/>
      <w:r w:rsidR="00025AC5">
        <w:t>ex ante</w:t>
      </w:r>
      <w:proofErr w:type="spellEnd"/>
      <w:r w:rsidR="00025AC5">
        <w:t xml:space="preserve"> impacts begin to degrade at a rate of 2.5% per year.  Over time, the load shifting capacity of the PLS</w:t>
      </w:r>
      <w:r w:rsidR="00E97668">
        <w:t>-TES</w:t>
      </w:r>
      <w:r w:rsidR="00025AC5">
        <w:t xml:space="preserve"> technologies is expected to degrade </w:t>
      </w:r>
      <w:r w:rsidR="005915B8">
        <w:t>as the system ages</w:t>
      </w:r>
      <w:r w:rsidR="00025AC5">
        <w:t>.  This assumption was made in consultation with program managers, and</w:t>
      </w:r>
      <w:r w:rsidR="0031330B">
        <w:t xml:space="preserve"> it</w:t>
      </w:r>
      <w:r w:rsidR="00025AC5">
        <w:t xml:space="preserve"> </w:t>
      </w:r>
      <w:r w:rsidR="005915B8">
        <w:t>is consistent with last</w:t>
      </w:r>
      <w:r w:rsidR="00025AC5">
        <w:t xml:space="preserve"> year’s evaluation.</w:t>
      </w:r>
    </w:p>
    <w:p w:rsidR="00BF594A" w:rsidRDefault="00BD78CF" w:rsidP="00BF594A">
      <w:pPr>
        <w:pStyle w:val="BodyParagraph"/>
      </w:pPr>
      <w:r>
        <w:lastRenderedPageBreak/>
        <w:t xml:space="preserve">The methodology for developing the conversion factors is described </w:t>
      </w:r>
      <w:r w:rsidRPr="00025AC5">
        <w:t>in Appendix A.</w:t>
      </w:r>
      <w:r>
        <w:t xml:space="preserve">  It is important to note that these conversion factors were developed under the assumption that PLS would primarily involve space cooling installations.  However, some of the applications that have been received thus far </w:t>
      </w:r>
      <w:r w:rsidR="00917BEF">
        <w:t>also include</w:t>
      </w:r>
      <w:r>
        <w:t xml:space="preserve"> </w:t>
      </w:r>
      <w:r w:rsidR="00FF468E">
        <w:t>process cooling installations, which have load profiles that may differ from the typical space cooling profile.</w:t>
      </w:r>
      <w:r w:rsidR="00917BEF">
        <w:t xml:space="preserve"> </w:t>
      </w:r>
      <w:r w:rsidR="009619DE">
        <w:t xml:space="preserve"> </w:t>
      </w:r>
      <w:r w:rsidR="003A132A">
        <w:t xml:space="preserve">For the sake of simplicity and in the absence of any further information, </w:t>
      </w:r>
      <w:r w:rsidR="00917BEF">
        <w:t xml:space="preserve">we have assumed </w:t>
      </w:r>
      <w:r w:rsidR="00EA72EE">
        <w:t>in this evaluation</w:t>
      </w:r>
      <w:r w:rsidR="003A132A">
        <w:t xml:space="preserve"> </w:t>
      </w:r>
      <w:r w:rsidR="00917BEF">
        <w:t xml:space="preserve">that the unidentified projects </w:t>
      </w:r>
      <w:r w:rsidR="009619DE">
        <w:t>only include</w:t>
      </w:r>
      <w:r w:rsidR="00917BEF">
        <w:t xml:space="preserve"> </w:t>
      </w:r>
      <w:r w:rsidR="009619DE">
        <w:t>space cooling installations</w:t>
      </w:r>
      <w:r w:rsidR="003A132A">
        <w:t>.</w:t>
      </w:r>
    </w:p>
    <w:p w:rsidR="00DC0CC9" w:rsidRPr="00BF594A" w:rsidRDefault="00DC0CC9" w:rsidP="00DC0CC9">
      <w:pPr>
        <w:pStyle w:val="TableFigureCaption"/>
      </w:pPr>
      <w:r>
        <w:t xml:space="preserve">Figure </w:t>
      </w:r>
      <w:r w:rsidR="00A56E31">
        <w:t>2</w:t>
      </w:r>
      <w:r>
        <w:t>-1: Methodology for Estimating Ex Ante Load Impacts of Unidentified PLS Projects</w:t>
      </w:r>
    </w:p>
    <w:p w:rsidR="00DC0CC9" w:rsidRDefault="009A3834" w:rsidP="009A3834">
      <w:pPr>
        <w:pStyle w:val="BodyParagraph"/>
        <w:ind w:left="-720" w:right="-720"/>
        <w:jc w:val="center"/>
      </w:pPr>
      <w:r>
        <w:object w:dxaOrig="15691" w:dyaOrig="11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243.5pt" o:ole="">
            <v:imagedata r:id="rId19" o:title="" cropbottom="27709f" cropleft="7819f"/>
          </v:shape>
          <o:OLEObject Type="Embed" ProgID="Visio.Drawing.15" ShapeID="_x0000_i1025" DrawAspect="Content" ObjectID="_1456668592" r:id="rId20"/>
        </w:object>
      </w:r>
    </w:p>
    <w:p w:rsidR="00E80B45" w:rsidRDefault="00E80B45" w:rsidP="00E80B45">
      <w:pPr>
        <w:pStyle w:val="BodyBeforeBullet"/>
      </w:pPr>
      <w:r>
        <w:t>The forecast of incentive dollars spent on unidentified projects was also</w:t>
      </w:r>
      <w:r w:rsidR="00BF594A" w:rsidRPr="00BF594A">
        <w:t xml:space="preserve"> used to estimate </w:t>
      </w:r>
      <w:r>
        <w:t xml:space="preserve">PLS </w:t>
      </w:r>
      <w:r w:rsidR="00905726">
        <w:t xml:space="preserve">program </w:t>
      </w:r>
      <w:r w:rsidR="00BF594A" w:rsidRPr="00BF594A">
        <w:t>enrollment</w:t>
      </w:r>
      <w:r>
        <w:t>, which is defined as</w:t>
      </w:r>
      <w:r w:rsidR="00B34F61">
        <w:t xml:space="preserve"> the number of PLS</w:t>
      </w:r>
      <w:r w:rsidR="00E97668">
        <w:t>-TES</w:t>
      </w:r>
      <w:r w:rsidR="00B34F61">
        <w:t xml:space="preserve"> installations that</w:t>
      </w:r>
      <w:r>
        <w:t xml:space="preserve"> have come online</w:t>
      </w:r>
      <w:r w:rsidR="00BF594A" w:rsidRPr="00BF594A">
        <w:t xml:space="preserve">.  </w:t>
      </w:r>
      <w:r w:rsidR="00B34F61">
        <w:t>Before a project comes online, the customer is still going through the application and verification process, during which some customers may drop off.  Therefore, customers are not defined as enrolled until their PLS</w:t>
      </w:r>
      <w:r w:rsidR="00E97668">
        <w:t>-TES</w:t>
      </w:r>
      <w:r w:rsidR="00B34F61">
        <w:t xml:space="preserve"> installation has come online.  Nonetheless, f</w:t>
      </w:r>
      <w:r w:rsidR="00BF594A" w:rsidRPr="00BF594A">
        <w:t>or each IOU, the applications that have been received thus</w:t>
      </w:r>
      <w:r w:rsidR="00647B84">
        <w:t> </w:t>
      </w:r>
      <w:r w:rsidR="00BF594A" w:rsidRPr="00BF594A">
        <w:t xml:space="preserve">far were used to </w:t>
      </w:r>
      <w:r>
        <w:t>in</w:t>
      </w:r>
      <w:r w:rsidR="00BF594A" w:rsidRPr="00BF594A">
        <w:t>form assumptions about</w:t>
      </w:r>
      <w:r>
        <w:t xml:space="preserve"> the following:</w:t>
      </w:r>
    </w:p>
    <w:p w:rsidR="00E80B45" w:rsidRDefault="00E80B45" w:rsidP="00E80B45">
      <w:pPr>
        <w:pStyle w:val="Bullets"/>
      </w:pPr>
      <w:r>
        <w:t>P</w:t>
      </w:r>
      <w:r w:rsidR="00BF594A" w:rsidRPr="00BF594A">
        <w:t>eak load shift of typical unidentified projects</w:t>
      </w:r>
      <w:r w:rsidR="00D51EF3">
        <w:t>.  D</w:t>
      </w:r>
      <w:r w:rsidR="00BF594A" w:rsidRPr="00BF594A">
        <w:t>epending on the number and diversity of applications for each IOU, unidentified proje</w:t>
      </w:r>
      <w:r w:rsidR="00D51EF3">
        <w:t>cts were either classified as</w:t>
      </w:r>
      <w:r w:rsidR="00BF594A" w:rsidRPr="00BF594A">
        <w:t xml:space="preserve"> small, medium and large</w:t>
      </w:r>
      <w:r w:rsidR="00D51EF3">
        <w:t xml:space="preserve"> (PG&amp;E)</w:t>
      </w:r>
      <w:r w:rsidR="00BF594A" w:rsidRPr="00BF594A">
        <w:t>, or were simply assumed to be of uniform size</w:t>
      </w:r>
      <w:r w:rsidR="00BC6EC4">
        <w:t xml:space="preserve"> (average of current applications – </w:t>
      </w:r>
      <w:r w:rsidR="00D51EF3">
        <w:t>SCE and SDG&amp;E)</w:t>
      </w:r>
      <w:r>
        <w:t>;</w:t>
      </w:r>
    </w:p>
    <w:p w:rsidR="00E80B45" w:rsidRDefault="00E80B45" w:rsidP="00E80B45">
      <w:pPr>
        <w:pStyle w:val="Bullets"/>
      </w:pPr>
      <w:r>
        <w:t>N</w:t>
      </w:r>
      <w:r w:rsidR="00BF594A" w:rsidRPr="00BF594A">
        <w:t>umber of projects of each size</w:t>
      </w:r>
      <w:r>
        <w:t>; and</w:t>
      </w:r>
    </w:p>
    <w:p w:rsidR="00E80B45" w:rsidRDefault="00E80B45" w:rsidP="00E80B45">
      <w:pPr>
        <w:pStyle w:val="BulletLast"/>
      </w:pPr>
      <w:r>
        <w:t>Expected</w:t>
      </w:r>
      <w:r w:rsidR="00BF594A" w:rsidRPr="00BF594A">
        <w:t xml:space="preserve"> project </w:t>
      </w:r>
      <w:r>
        <w:t>installation and verification timeline (</w:t>
      </w:r>
      <w:r w:rsidR="00042402">
        <w:t>the time between when an application is received and when the installation</w:t>
      </w:r>
      <w:r w:rsidR="00B74315">
        <w:t xml:space="preserve"> and verification are</w:t>
      </w:r>
      <w:r w:rsidR="00042402">
        <w:t xml:space="preserve"> completed</w:t>
      </w:r>
      <w:r w:rsidR="00BF594A" w:rsidRPr="00BF594A">
        <w:t>).</w:t>
      </w:r>
    </w:p>
    <w:p w:rsidR="00163F18" w:rsidRDefault="00BF594A" w:rsidP="00163F18">
      <w:pPr>
        <w:pStyle w:val="BodyParagraph"/>
      </w:pPr>
      <w:r w:rsidRPr="00BF594A">
        <w:t xml:space="preserve">These assumptions were IOU-specific and were </w:t>
      </w:r>
      <w:r w:rsidR="00042402">
        <w:t>formulated using</w:t>
      </w:r>
      <w:r w:rsidR="00B74315">
        <w:t xml:space="preserve"> the current</w:t>
      </w:r>
      <w:r w:rsidR="00042402">
        <w:t xml:space="preserve"> applications for identified projects</w:t>
      </w:r>
      <w:r w:rsidR="00E80B45">
        <w:t>.</w:t>
      </w:r>
      <w:r w:rsidR="00B74315">
        <w:t xml:space="preserve">  </w:t>
      </w:r>
      <w:r w:rsidR="00163F18">
        <w:t>Section 3 provides a summary of these assumptions</w:t>
      </w:r>
      <w:r w:rsidR="004A5BEF">
        <w:t xml:space="preserve"> and the resulting enrollment forecast</w:t>
      </w:r>
      <w:r w:rsidR="00163F18">
        <w:t>.</w:t>
      </w:r>
    </w:p>
    <w:p w:rsidR="00BF594A" w:rsidRPr="00BF594A" w:rsidRDefault="004A5BEF" w:rsidP="00163F18">
      <w:pPr>
        <w:pStyle w:val="BodyParagraph"/>
      </w:pPr>
      <w:r>
        <w:lastRenderedPageBreak/>
        <w:t>Finally, b</w:t>
      </w:r>
      <w:r w:rsidR="00BF594A" w:rsidRPr="00BF594A">
        <w:t xml:space="preserve">ecause local weather conditions heavily influence the load shift that is actually experienced, the </w:t>
      </w:r>
      <w:proofErr w:type="spellStart"/>
      <w:r w:rsidR="00BF594A" w:rsidRPr="00BF594A">
        <w:t>ex ante</w:t>
      </w:r>
      <w:proofErr w:type="spellEnd"/>
      <w:r w:rsidR="00BF594A" w:rsidRPr="00BF594A">
        <w:t xml:space="preserve"> load impacts are dependent on the specific geographic region in which an installation is located.  As</w:t>
      </w:r>
      <w:r w:rsidR="00C452BD">
        <w:t> </w:t>
      </w:r>
      <w:r w:rsidR="00BF594A" w:rsidRPr="00BF594A">
        <w:t xml:space="preserve">such, it was necessary to allocate the unidentified projects to LCAs within each utility’s service area.  Without any information on where these projects will be located, </w:t>
      </w:r>
      <w:r>
        <w:t>the aggregate peak load shift was allocated to each LCA</w:t>
      </w:r>
      <w:r w:rsidR="00BF594A" w:rsidRPr="00BF594A">
        <w:t xml:space="preserve"> </w:t>
      </w:r>
      <w:r>
        <w:t>in proportion to</w:t>
      </w:r>
      <w:r w:rsidR="00BF594A" w:rsidRPr="00BF594A">
        <w:t xml:space="preserve"> the </w:t>
      </w:r>
      <w:r>
        <w:t>distribution</w:t>
      </w:r>
      <w:r w:rsidR="00BF594A" w:rsidRPr="00BF594A">
        <w:t xml:space="preserve"> of nonresidential customers located in each LCA.</w:t>
      </w:r>
      <w:r>
        <w:t xml:space="preserve">  Considering that the utilities have received applications from customers that are located in LCAs that are not usually associated with having </w:t>
      </w:r>
      <w:r w:rsidR="000B6609">
        <w:t>high</w:t>
      </w:r>
      <w:r>
        <w:t xml:space="preserve"> cooling load, the expectation regarding where these PL</w:t>
      </w:r>
      <w:r w:rsidR="00073AAB">
        <w:t>S-TES</w:t>
      </w:r>
      <w:r>
        <w:t xml:space="preserve"> installations will come </w:t>
      </w:r>
      <w:r w:rsidR="000B6609">
        <w:t>online has become unclear</w:t>
      </w:r>
      <w:r>
        <w:t xml:space="preserve">.  </w:t>
      </w:r>
      <w:r w:rsidR="000B6609">
        <w:t>Basically, w</w:t>
      </w:r>
      <w:r>
        <w:t>ith process cooling being eligible for</w:t>
      </w:r>
      <w:r w:rsidR="009619DE">
        <w:t xml:space="preserve"> PLS program incentives</w:t>
      </w:r>
      <w:r>
        <w:t>, the program is vi</w:t>
      </w:r>
      <w:r w:rsidR="000B6609">
        <w:t>able in many different climates, as the current applications have shown.</w:t>
      </w:r>
    </w:p>
    <w:p w:rsidR="00BF594A" w:rsidRDefault="00BF594A" w:rsidP="00107A41">
      <w:pPr>
        <w:pStyle w:val="Heading2"/>
      </w:pPr>
      <w:bookmarkStart w:id="12" w:name="_Toc382926508"/>
      <w:r>
        <w:t>Identified Projects</w:t>
      </w:r>
      <w:bookmarkEnd w:id="12"/>
    </w:p>
    <w:p w:rsidR="002F0D62" w:rsidRDefault="002F0D62" w:rsidP="00BF594A">
      <w:pPr>
        <w:pStyle w:val="BodyParagraph"/>
      </w:pPr>
      <w:r>
        <w:t xml:space="preserve">The PLS </w:t>
      </w:r>
      <w:r w:rsidR="00073AAB">
        <w:t xml:space="preserve">program </w:t>
      </w:r>
      <w:r>
        <w:t>evaluation used two different methodologies for estimating ex ante load impacts for</w:t>
      </w:r>
      <w:r w:rsidR="00647B84">
        <w:t> </w:t>
      </w:r>
      <w:r>
        <w:t>identified projects.  For SCE and SDG&amp;E, Nexant used an approach that was similar to that of unidentified projects.  For PG&amp;E, Nexant conducted building simulation modeling to estimate load impacts under the various ex ante weather conditions.  Each approach is described in this section.</w:t>
      </w:r>
    </w:p>
    <w:p w:rsidR="00BF594A" w:rsidRDefault="00BF594A" w:rsidP="00107A41">
      <w:pPr>
        <w:pStyle w:val="Heading3"/>
      </w:pPr>
      <w:bookmarkStart w:id="13" w:name="_Toc382926509"/>
      <w:r>
        <w:t>PG&amp;E</w:t>
      </w:r>
      <w:r w:rsidR="0055076D">
        <w:t xml:space="preserve"> Approach</w:t>
      </w:r>
      <w:bookmarkEnd w:id="13"/>
    </w:p>
    <w:p w:rsidR="00BF594A" w:rsidRDefault="00BF594A" w:rsidP="00BF594A">
      <w:pPr>
        <w:pStyle w:val="BodyParagraph"/>
      </w:pPr>
      <w:r>
        <w:t xml:space="preserve">PG&amp;E received four applications </w:t>
      </w:r>
      <w:r w:rsidR="003A1623">
        <w:t>at the time the evaluation was conducted</w:t>
      </w:r>
      <w:r w:rsidR="00BD78CF">
        <w:t>,</w:t>
      </w:r>
      <w:r w:rsidR="003A1623">
        <w:t xml:space="preserve"> </w:t>
      </w:r>
      <w:r>
        <w:t xml:space="preserve">with a wide range of </w:t>
      </w:r>
      <w:r w:rsidR="00BD78CF">
        <w:t xml:space="preserve">expected </w:t>
      </w:r>
      <w:r>
        <w:t xml:space="preserve">peak load shifts.  </w:t>
      </w:r>
      <w:r w:rsidR="00F833A9">
        <w:t>One of the projects</w:t>
      </w:r>
      <w:r>
        <w:t xml:space="preserve"> was quite </w:t>
      </w:r>
      <w:r w:rsidR="00BD78CF">
        <w:t>large (well over the 1,714 kW</w:t>
      </w:r>
      <w:r>
        <w:t xml:space="preserve"> load shift that would yield the</w:t>
      </w:r>
      <w:r w:rsidR="006F6BCD">
        <w:t> </w:t>
      </w:r>
      <w:r>
        <w:t xml:space="preserve">maximum incentive amount of $1.5M).  </w:t>
      </w:r>
      <w:r w:rsidR="00BD78CF">
        <w:t xml:space="preserve">Three </w:t>
      </w:r>
      <w:r>
        <w:t xml:space="preserve">of the projects were for </w:t>
      </w:r>
      <w:r w:rsidR="00F833A9">
        <w:t>process cooling loads.  These process cooling loads may be</w:t>
      </w:r>
      <w:r>
        <w:t xml:space="preserve"> quite different f</w:t>
      </w:r>
      <w:r w:rsidR="00F833A9">
        <w:t>rom the space cooling loads for which</w:t>
      </w:r>
      <w:r>
        <w:t xml:space="preserve"> </w:t>
      </w:r>
      <w:r w:rsidR="00F833A9">
        <w:t xml:space="preserve">the </w:t>
      </w:r>
      <w:proofErr w:type="spellStart"/>
      <w:r w:rsidR="00F833A9">
        <w:t>ex ante</w:t>
      </w:r>
      <w:proofErr w:type="spellEnd"/>
      <w:r w:rsidR="00F833A9">
        <w:t xml:space="preserve"> conversion factors are designed to be </w:t>
      </w:r>
      <w:r w:rsidR="00073AAB">
        <w:t>used.</w:t>
      </w:r>
      <w:r>
        <w:t xml:space="preserve">  Given the </w:t>
      </w:r>
      <w:r w:rsidR="00F833A9">
        <w:t>unexpected</w:t>
      </w:r>
      <w:r>
        <w:t xml:space="preserve"> nature of these projects and the fact that a single project is expected to deliver a large </w:t>
      </w:r>
      <w:r w:rsidR="00BD78CF">
        <w:t>portion</w:t>
      </w:r>
      <w:r>
        <w:t xml:space="preserve"> </w:t>
      </w:r>
      <w:r w:rsidR="00BD78CF">
        <w:t>of the</w:t>
      </w:r>
      <w:r>
        <w:t xml:space="preserve"> load shift, </w:t>
      </w:r>
      <w:r w:rsidR="00BD78CF">
        <w:t>PG&amp;E</w:t>
      </w:r>
      <w:r>
        <w:t xml:space="preserve"> </w:t>
      </w:r>
      <w:r w:rsidR="00BD78CF">
        <w:t xml:space="preserve">opted to use building simulation modeling </w:t>
      </w:r>
      <w:r w:rsidR="00F833A9">
        <w:t>to estimate</w:t>
      </w:r>
      <w:r w:rsidR="00BD78CF">
        <w:t xml:space="preserve"> the </w:t>
      </w:r>
      <w:proofErr w:type="spellStart"/>
      <w:r w:rsidR="00BD78CF">
        <w:t>ex ante</w:t>
      </w:r>
      <w:proofErr w:type="spellEnd"/>
      <w:r w:rsidR="00BD78CF">
        <w:t xml:space="preserve"> load impacts for identified projects</w:t>
      </w:r>
      <w:r>
        <w:t>.</w:t>
      </w:r>
    </w:p>
    <w:p w:rsidR="00454D75" w:rsidRDefault="00BF594A" w:rsidP="00454D75">
      <w:pPr>
        <w:pStyle w:val="BodyParagraph"/>
      </w:pPr>
      <w:r>
        <w:t xml:space="preserve">For this </w:t>
      </w:r>
      <w:r w:rsidR="006B6F52">
        <w:t xml:space="preserve">building </w:t>
      </w:r>
      <w:r>
        <w:t xml:space="preserve">simulation </w:t>
      </w:r>
      <w:r w:rsidR="006B6F52">
        <w:t xml:space="preserve">modeling </w:t>
      </w:r>
      <w:r>
        <w:t>work, the evaluation team used the Quick Energy Simulation Tool (</w:t>
      </w:r>
      <w:proofErr w:type="spellStart"/>
      <w:r>
        <w:t>eQUEST</w:t>
      </w:r>
      <w:proofErr w:type="spellEnd"/>
      <w:r>
        <w:t>), which is</w:t>
      </w:r>
      <w:r w:rsidR="006F6BCD">
        <w:t> </w:t>
      </w:r>
      <w:r>
        <w:t>a software package designed in collaboration with the Department of Energy (DOE) and Lawrence Berkeley National Laboratory (LBNL)</w:t>
      </w:r>
      <w:r w:rsidR="006B6F52">
        <w:t>.</w:t>
      </w:r>
      <w:r w:rsidR="006B6F52" w:rsidRPr="006B6F52">
        <w:rPr>
          <w:rStyle w:val="FootnoteReference"/>
        </w:rPr>
        <w:t xml:space="preserve"> </w:t>
      </w:r>
      <w:r w:rsidR="006B6F52">
        <w:rPr>
          <w:rStyle w:val="FootnoteReference"/>
        </w:rPr>
        <w:footnoteReference w:id="11"/>
      </w:r>
      <w:r w:rsidR="006B6F52">
        <w:t xml:space="preserve">  This software is</w:t>
      </w:r>
      <w:r>
        <w:t xml:space="preserve"> used extensively</w:t>
      </w:r>
      <w:r w:rsidR="006B6F52">
        <w:t xml:space="preserve"> throughout the industry</w:t>
      </w:r>
      <w:r>
        <w:t xml:space="preserve"> to simulate building energy usage</w:t>
      </w:r>
      <w:r w:rsidR="006B6F52">
        <w:t xml:space="preserve"> for a wide variety of </w:t>
      </w:r>
      <w:r w:rsidR="00551CAF">
        <w:t>climates,</w:t>
      </w:r>
      <w:r w:rsidR="006B6F52">
        <w:t xml:space="preserve"> building types</w:t>
      </w:r>
      <w:r w:rsidR="00551CAF">
        <w:t xml:space="preserve"> and cooling technologies (including various </w:t>
      </w:r>
      <w:r w:rsidR="00CD5405">
        <w:t>TES</w:t>
      </w:r>
      <w:r w:rsidR="00551CAF">
        <w:t xml:space="preserve"> designs)</w:t>
      </w:r>
      <w:r w:rsidR="006F6BCD">
        <w:t>.</w:t>
      </w:r>
      <w:r w:rsidR="00551CAF">
        <w:t xml:space="preserve">  The remainder of this section summarizes the step-by-step approach that was applied to the four identified PG&amp;E projects.</w:t>
      </w:r>
    </w:p>
    <w:p w:rsidR="00612734" w:rsidRDefault="00612734" w:rsidP="00612734">
      <w:pPr>
        <w:pStyle w:val="Heading4"/>
      </w:pPr>
      <w:r>
        <w:t>Step 1: Populate</w:t>
      </w:r>
      <w:r w:rsidR="00275DBE">
        <w:t xml:space="preserve"> Initial</w:t>
      </w:r>
      <w:r>
        <w:t xml:space="preserve"> </w:t>
      </w:r>
      <w:proofErr w:type="spellStart"/>
      <w:r>
        <w:t>eQUEST</w:t>
      </w:r>
      <w:proofErr w:type="spellEnd"/>
      <w:r>
        <w:t xml:space="preserve"> inputs</w:t>
      </w:r>
    </w:p>
    <w:p w:rsidR="006B6F52" w:rsidRDefault="00454D75" w:rsidP="00454D75">
      <w:pPr>
        <w:pStyle w:val="BodyBeforeBullet"/>
      </w:pPr>
      <w:r>
        <w:t xml:space="preserve">To populate the </w:t>
      </w:r>
      <w:r w:rsidR="00275DBE">
        <w:t xml:space="preserve">initial </w:t>
      </w:r>
      <w:proofErr w:type="spellStart"/>
      <w:r>
        <w:t>eQUEST</w:t>
      </w:r>
      <w:proofErr w:type="spellEnd"/>
      <w:r>
        <w:t xml:space="preserve"> inputs, Nexant used information from the PLS</w:t>
      </w:r>
      <w:r w:rsidR="00073AAB">
        <w:t xml:space="preserve"> program</w:t>
      </w:r>
      <w:r>
        <w:t xml:space="preserve"> applications, PG&amp;E data, discussions with the PLS program manager and, in some cases, discussions with the utility account representative and/or customer.  These </w:t>
      </w:r>
      <w:r w:rsidR="00275DBE">
        <w:t xml:space="preserve">initial </w:t>
      </w:r>
      <w:proofErr w:type="spellStart"/>
      <w:r>
        <w:t>eQUEST</w:t>
      </w:r>
      <w:proofErr w:type="spellEnd"/>
      <w:r>
        <w:t xml:space="preserve"> inputs included the following:</w:t>
      </w:r>
    </w:p>
    <w:p w:rsidR="005B4AFE" w:rsidRDefault="00454D75" w:rsidP="005B4AFE">
      <w:pPr>
        <w:pStyle w:val="Bullets"/>
      </w:pPr>
      <w:r>
        <w:t>Facility square</w:t>
      </w:r>
      <w:r w:rsidR="005B4AFE">
        <w:t xml:space="preserve"> f</w:t>
      </w:r>
      <w:r>
        <w:t>ootage</w:t>
      </w:r>
      <w:r w:rsidR="00CD5405">
        <w:t>;</w:t>
      </w:r>
    </w:p>
    <w:p w:rsidR="00454D75" w:rsidRDefault="00454D75" w:rsidP="005B4AFE">
      <w:pPr>
        <w:pStyle w:val="Bullets"/>
      </w:pPr>
      <w:r>
        <w:t>Type of cooling (process/space)</w:t>
      </w:r>
      <w:r w:rsidR="00CD5405">
        <w:t>;</w:t>
      </w:r>
    </w:p>
    <w:p w:rsidR="00454D75" w:rsidRDefault="00454D75" w:rsidP="005B4AFE">
      <w:pPr>
        <w:pStyle w:val="Bullets"/>
      </w:pPr>
      <w:r>
        <w:t>Type of thermal energy storage to be installed</w:t>
      </w:r>
      <w:r w:rsidR="00CD5405">
        <w:t>;</w:t>
      </w:r>
    </w:p>
    <w:p w:rsidR="00454D75" w:rsidRDefault="00454D75" w:rsidP="005B4AFE">
      <w:pPr>
        <w:pStyle w:val="Bullets"/>
      </w:pPr>
      <w:r>
        <w:lastRenderedPageBreak/>
        <w:t>Capacity of thermal energy storage tank</w:t>
      </w:r>
      <w:r w:rsidR="00CD5405">
        <w:t>;</w:t>
      </w:r>
    </w:p>
    <w:p w:rsidR="00454D75" w:rsidRDefault="00454D75" w:rsidP="005B4AFE">
      <w:pPr>
        <w:pStyle w:val="Bullets"/>
      </w:pPr>
      <w:r>
        <w:t>Number of thermal energy storage tanks</w:t>
      </w:r>
      <w:r w:rsidR="00CD5405">
        <w:t>;</w:t>
      </w:r>
    </w:p>
    <w:p w:rsidR="00155670" w:rsidRDefault="00155670" w:rsidP="005B4AFE">
      <w:pPr>
        <w:pStyle w:val="Bullets"/>
      </w:pPr>
      <w:r>
        <w:t>Thermal energy storage charge/discharge schedule</w:t>
      </w:r>
      <w:r w:rsidR="00CD5405">
        <w:t>;</w:t>
      </w:r>
    </w:p>
    <w:p w:rsidR="00454D75" w:rsidRDefault="00083E7B" w:rsidP="005B4AFE">
      <w:pPr>
        <w:pStyle w:val="Bullets"/>
      </w:pPr>
      <w:r>
        <w:t>Chiller capacity</w:t>
      </w:r>
      <w:r w:rsidR="00CD5405">
        <w:t>;</w:t>
      </w:r>
    </w:p>
    <w:p w:rsidR="00155670" w:rsidRPr="000F32CA" w:rsidRDefault="00155670" w:rsidP="00155670">
      <w:pPr>
        <w:pStyle w:val="Bullets"/>
      </w:pPr>
      <w:r w:rsidRPr="000F32CA">
        <w:t>Chiller type (air-cooled/water cooled, centrifugal/screw/reciprocating)</w:t>
      </w:r>
      <w:r w:rsidR="00CD5405">
        <w:t>;</w:t>
      </w:r>
    </w:p>
    <w:p w:rsidR="00155670" w:rsidRPr="000F32CA" w:rsidRDefault="00155670" w:rsidP="00155670">
      <w:pPr>
        <w:pStyle w:val="Bullets"/>
      </w:pPr>
      <w:r w:rsidRPr="000F32CA">
        <w:t>Chiller supply temperature</w:t>
      </w:r>
      <w:r w:rsidR="00CD5405">
        <w:t>;</w:t>
      </w:r>
    </w:p>
    <w:p w:rsidR="00454D75" w:rsidRDefault="00454D75" w:rsidP="005B4AFE">
      <w:pPr>
        <w:pStyle w:val="Bullets"/>
      </w:pPr>
      <w:r>
        <w:t>Chiller operation schedule</w:t>
      </w:r>
      <w:r w:rsidR="00CD5405">
        <w:t>;</w:t>
      </w:r>
    </w:p>
    <w:p w:rsidR="005B4AFE" w:rsidRDefault="00454D75" w:rsidP="005B4AFE">
      <w:pPr>
        <w:pStyle w:val="Bullets"/>
      </w:pPr>
      <w:r>
        <w:t>Project site a</w:t>
      </w:r>
      <w:r w:rsidR="005B4AFE">
        <w:t>ddress</w:t>
      </w:r>
      <w:r w:rsidR="00CD5405">
        <w:t>;</w:t>
      </w:r>
    </w:p>
    <w:p w:rsidR="005B4AFE" w:rsidRDefault="00454D75" w:rsidP="00454D75">
      <w:pPr>
        <w:pStyle w:val="Bullets"/>
      </w:pPr>
      <w:r w:rsidRPr="00454D75">
        <w:t>North American Industry Classification System</w:t>
      </w:r>
      <w:r>
        <w:t xml:space="preserve"> (NAICS)</w:t>
      </w:r>
      <w:r w:rsidR="00551CAF">
        <w:t xml:space="preserve"> c</w:t>
      </w:r>
      <w:r w:rsidR="005B4AFE">
        <w:t>ode</w:t>
      </w:r>
      <w:r w:rsidR="00CD5405">
        <w:t>;</w:t>
      </w:r>
    </w:p>
    <w:p w:rsidR="005B4AFE" w:rsidRDefault="00454D75" w:rsidP="005B4AFE">
      <w:pPr>
        <w:pStyle w:val="Bullets"/>
      </w:pPr>
      <w:r>
        <w:t>Rate s</w:t>
      </w:r>
      <w:r w:rsidR="005B4AFE">
        <w:t>chedule</w:t>
      </w:r>
      <w:r w:rsidR="00CD5405">
        <w:t>;</w:t>
      </w:r>
    </w:p>
    <w:p w:rsidR="005B4AFE" w:rsidRDefault="00454D75" w:rsidP="005B4AFE">
      <w:pPr>
        <w:pStyle w:val="Bullets"/>
      </w:pPr>
      <w:r>
        <w:t>LCA</w:t>
      </w:r>
      <w:r w:rsidR="00CD5405">
        <w:t>;</w:t>
      </w:r>
    </w:p>
    <w:p w:rsidR="005B4AFE" w:rsidRDefault="00454D75" w:rsidP="005B4AFE">
      <w:pPr>
        <w:pStyle w:val="Bullets"/>
      </w:pPr>
      <w:r>
        <w:t>Assigned weather s</w:t>
      </w:r>
      <w:r w:rsidR="005B4AFE">
        <w:t>tation</w:t>
      </w:r>
      <w:r w:rsidR="00CD5405">
        <w:t>;</w:t>
      </w:r>
    </w:p>
    <w:p w:rsidR="00551CAF" w:rsidRDefault="00551CAF" w:rsidP="005B4AFE">
      <w:pPr>
        <w:pStyle w:val="Bullets"/>
      </w:pPr>
      <w:r>
        <w:t>2013 hourly temperature data</w:t>
      </w:r>
      <w:r w:rsidR="00CD5405">
        <w:t>;</w:t>
      </w:r>
      <w:r w:rsidR="00275DBE">
        <w:t xml:space="preserve"> and</w:t>
      </w:r>
    </w:p>
    <w:p w:rsidR="005B4AFE" w:rsidRDefault="00454D75" w:rsidP="00551CAF">
      <w:pPr>
        <w:pStyle w:val="BulletLast"/>
      </w:pPr>
      <w:r>
        <w:t>2013 hourly usage data</w:t>
      </w:r>
      <w:r w:rsidR="00275DBE">
        <w:t>.</w:t>
      </w:r>
    </w:p>
    <w:p w:rsidR="00551CAF" w:rsidRDefault="00551CAF" w:rsidP="00551CAF">
      <w:pPr>
        <w:pStyle w:val="Heading4"/>
      </w:pPr>
      <w:r>
        <w:t xml:space="preserve">Step 2: </w:t>
      </w:r>
      <w:r w:rsidR="00DC6248">
        <w:t xml:space="preserve">Calibrate </w:t>
      </w:r>
      <w:proofErr w:type="spellStart"/>
      <w:r w:rsidR="00DC6248">
        <w:t>eQUEST</w:t>
      </w:r>
      <w:proofErr w:type="spellEnd"/>
      <w:r w:rsidR="00DC6248">
        <w:t xml:space="preserve"> Model</w:t>
      </w:r>
    </w:p>
    <w:p w:rsidR="00155670" w:rsidRDefault="00551CAF" w:rsidP="00155670">
      <w:pPr>
        <w:pStyle w:val="BodyBeforeBullet"/>
      </w:pPr>
      <w:r>
        <w:t xml:space="preserve">Using these initial </w:t>
      </w:r>
      <w:proofErr w:type="spellStart"/>
      <w:r>
        <w:t>eQUEST</w:t>
      </w:r>
      <w:proofErr w:type="spellEnd"/>
      <w:r>
        <w:t xml:space="preserve"> inputs, Nexant predicted each building’s 2013 hourly usage based on the 2013 hourly temperatures for each customer.</w:t>
      </w:r>
      <w:r w:rsidR="00BC3CCA">
        <w:t xml:space="preserve">  This initial model prediction was compared to the actual 2013 hourly usage in order to assess the accuracy of the model.  Then, Nexant calibrated the model by adjusting some of the </w:t>
      </w:r>
      <w:r w:rsidR="00275DBE">
        <w:t xml:space="preserve">default </w:t>
      </w:r>
      <w:proofErr w:type="spellStart"/>
      <w:r w:rsidR="00BC3CCA">
        <w:t>eQUEST</w:t>
      </w:r>
      <w:proofErr w:type="spellEnd"/>
      <w:r w:rsidR="00BC3CCA">
        <w:t xml:space="preserve"> inputs.  </w:t>
      </w:r>
      <w:r w:rsidR="00AC6052">
        <w:t xml:space="preserve">In addition to the inputs described above, </w:t>
      </w:r>
      <w:proofErr w:type="spellStart"/>
      <w:r w:rsidR="00AC6052">
        <w:t>eQUEST</w:t>
      </w:r>
      <w:proofErr w:type="spellEnd"/>
      <w:r w:rsidR="00AC6052">
        <w:t xml:space="preserve"> includes other variables that affect the model predictions.  The calibration process involved adjusting some of the default values for those other variables, based on the 2013 building usage patterns and, in some cases, other information such as satellite imagery from Google maps.</w:t>
      </w:r>
      <w:r w:rsidR="00155670">
        <w:t xml:space="preserve">  The inputs that were adjusted in the calibration process included:</w:t>
      </w:r>
    </w:p>
    <w:p w:rsidR="00155670" w:rsidRPr="000F32CA" w:rsidRDefault="00155670" w:rsidP="00155670">
      <w:pPr>
        <w:pStyle w:val="Bullets"/>
      </w:pPr>
      <w:r>
        <w:t>Lighting load density (W/sq. ft.</w:t>
      </w:r>
      <w:r w:rsidRPr="000F32CA">
        <w:t>)</w:t>
      </w:r>
      <w:r w:rsidR="00275DBE">
        <w:t>;</w:t>
      </w:r>
    </w:p>
    <w:p w:rsidR="00155670" w:rsidRPr="000F32CA" w:rsidRDefault="00155670" w:rsidP="00155670">
      <w:pPr>
        <w:pStyle w:val="Bullets"/>
      </w:pPr>
      <w:r w:rsidRPr="000F32CA">
        <w:t>Lighting operating schedule (weekly operating hours)</w:t>
      </w:r>
      <w:r w:rsidR="00275DBE">
        <w:t>;</w:t>
      </w:r>
    </w:p>
    <w:p w:rsidR="00155670" w:rsidRPr="000F32CA" w:rsidRDefault="00155670" w:rsidP="00155670">
      <w:pPr>
        <w:pStyle w:val="Bullets"/>
      </w:pPr>
      <w:r w:rsidRPr="000F32CA">
        <w:t>Building equipment/plug load density (W/</w:t>
      </w:r>
      <w:r>
        <w:t>sq. ft.</w:t>
      </w:r>
      <w:r w:rsidRPr="000F32CA">
        <w:t>)</w:t>
      </w:r>
      <w:r w:rsidR="00275DBE">
        <w:t>;</w:t>
      </w:r>
    </w:p>
    <w:p w:rsidR="00155670" w:rsidRPr="000F32CA" w:rsidRDefault="00155670" w:rsidP="00155670">
      <w:pPr>
        <w:pStyle w:val="Bullets"/>
      </w:pPr>
      <w:r w:rsidRPr="000F32CA">
        <w:t>Equipment/plug load operating schedule (weekly operating hours)</w:t>
      </w:r>
      <w:r w:rsidR="00275DBE">
        <w:t>;</w:t>
      </w:r>
    </w:p>
    <w:p w:rsidR="00155670" w:rsidRPr="000F32CA" w:rsidRDefault="00155670" w:rsidP="00155670">
      <w:pPr>
        <w:pStyle w:val="Bullets"/>
      </w:pPr>
      <w:r w:rsidRPr="000F32CA">
        <w:t>Process load (kW)</w:t>
      </w:r>
      <w:r w:rsidR="00275DBE">
        <w:t>;</w:t>
      </w:r>
    </w:p>
    <w:p w:rsidR="00155670" w:rsidRPr="000F32CA" w:rsidRDefault="00155670" w:rsidP="00155670">
      <w:pPr>
        <w:pStyle w:val="Bullets"/>
      </w:pPr>
      <w:r w:rsidRPr="000F32CA">
        <w:t>HVAC system operating schedule (weekly operating hours)</w:t>
      </w:r>
      <w:r w:rsidR="00275DBE">
        <w:t>;</w:t>
      </w:r>
    </w:p>
    <w:p w:rsidR="00155670" w:rsidRPr="000F32CA" w:rsidRDefault="00155670" w:rsidP="00155670">
      <w:pPr>
        <w:pStyle w:val="Bullets"/>
      </w:pPr>
      <w:r w:rsidRPr="000F32CA">
        <w:t>Air handling unit (</w:t>
      </w:r>
      <w:r>
        <w:t>AHU) fan static pressure</w:t>
      </w:r>
      <w:r w:rsidR="00275DBE">
        <w:t>;</w:t>
      </w:r>
    </w:p>
    <w:p w:rsidR="00155670" w:rsidRPr="000F32CA" w:rsidRDefault="00155670" w:rsidP="00155670">
      <w:pPr>
        <w:pStyle w:val="Bullets"/>
      </w:pPr>
      <w:r w:rsidRPr="000F32CA">
        <w:t>Minimum outside air flow ratio for AHUs (%)</w:t>
      </w:r>
      <w:r w:rsidR="00275DBE">
        <w:t>;</w:t>
      </w:r>
    </w:p>
    <w:p w:rsidR="00155670" w:rsidRPr="000F32CA" w:rsidRDefault="00155670" w:rsidP="00155670">
      <w:pPr>
        <w:pStyle w:val="Bullets"/>
      </w:pPr>
      <w:r>
        <w:t>Design a</w:t>
      </w:r>
      <w:r w:rsidRPr="000F32CA">
        <w:t xml:space="preserve">ir flow rate for </w:t>
      </w:r>
      <w:r w:rsidR="00213E00">
        <w:t>variable air volume (</w:t>
      </w:r>
      <w:r w:rsidRPr="000F32CA">
        <w:t>VAV</w:t>
      </w:r>
      <w:r w:rsidR="00213E00">
        <w:t>)</w:t>
      </w:r>
      <w:r w:rsidRPr="000F32CA">
        <w:t xml:space="preserve"> boxes</w:t>
      </w:r>
      <w:r w:rsidR="00275DBE">
        <w:t>;</w:t>
      </w:r>
    </w:p>
    <w:p w:rsidR="00155670" w:rsidRPr="000F32CA" w:rsidRDefault="00155670" w:rsidP="00155670">
      <w:pPr>
        <w:pStyle w:val="Bullets"/>
      </w:pPr>
      <w:r w:rsidRPr="000F32CA">
        <w:t>Minimum air flow ratio for VAV boxes (%)</w:t>
      </w:r>
      <w:r w:rsidR="00275DBE">
        <w:t>; and</w:t>
      </w:r>
    </w:p>
    <w:p w:rsidR="00155670" w:rsidRPr="000F32CA" w:rsidRDefault="00155670" w:rsidP="00155670">
      <w:pPr>
        <w:pStyle w:val="BulletLast"/>
      </w:pPr>
      <w:r w:rsidRPr="000F32CA">
        <w:t>Space temperature set</w:t>
      </w:r>
      <w:r>
        <w:t xml:space="preserve"> </w:t>
      </w:r>
      <w:r w:rsidRPr="000F32CA">
        <w:t>po</w:t>
      </w:r>
      <w:r>
        <w:t>i</w:t>
      </w:r>
      <w:r w:rsidRPr="000F32CA">
        <w:t>nt (°F)</w:t>
      </w:r>
      <w:r w:rsidR="00275DBE">
        <w:t>.</w:t>
      </w:r>
    </w:p>
    <w:p w:rsidR="00155670" w:rsidRDefault="00AC6052" w:rsidP="00551CAF">
      <w:pPr>
        <w:pStyle w:val="BodyParagraph"/>
      </w:pPr>
      <w:r>
        <w:lastRenderedPageBreak/>
        <w:t xml:space="preserve">Ideally, Nexant would have been able to visit the facility in order to populate these </w:t>
      </w:r>
      <w:r w:rsidR="006C4394">
        <w:t xml:space="preserve">remaining </w:t>
      </w:r>
      <w:r>
        <w:t xml:space="preserve">inputs, but given that </w:t>
      </w:r>
      <w:r w:rsidR="008C08C4">
        <w:t>customers are scheduled to go through a similar</w:t>
      </w:r>
      <w:r w:rsidR="006C4394">
        <w:t xml:space="preserve"> process as part of the feasibility study, the evaluation team did not want to impose additional burden on PLS</w:t>
      </w:r>
      <w:r w:rsidR="00217F54">
        <w:t xml:space="preserve"> program</w:t>
      </w:r>
      <w:r w:rsidR="006C4394">
        <w:t xml:space="preserve"> applicants.</w:t>
      </w:r>
      <w:r w:rsidR="008C08C4">
        <w:t xml:space="preserve">  Either way, this calibration process is common for building simulation modeling, even when more in-depth information is available.</w:t>
      </w:r>
    </w:p>
    <w:p w:rsidR="000F32CA" w:rsidRPr="000F32CA" w:rsidRDefault="008C08C4" w:rsidP="000F32CA">
      <w:pPr>
        <w:pStyle w:val="BodyParagraph"/>
      </w:pPr>
      <w:r>
        <w:t>Regardless of some data limitations</w:t>
      </w:r>
      <w:r w:rsidR="006C4394">
        <w:t xml:space="preserve">, the </w:t>
      </w:r>
      <w:r w:rsidR="00155670">
        <w:t xml:space="preserve">calibrated </w:t>
      </w:r>
      <w:proofErr w:type="spellStart"/>
      <w:r w:rsidR="006C4394">
        <w:t>eQUEST</w:t>
      </w:r>
      <w:proofErr w:type="spellEnd"/>
      <w:r w:rsidR="006C4394">
        <w:t xml:space="preserve"> models produced highly accurate predictions of hourly and monthly building usage</w:t>
      </w:r>
      <w:r w:rsidR="00155670">
        <w:t xml:space="preserve"> for the identified PLS facilities.  Figure </w:t>
      </w:r>
      <w:r w:rsidR="00647B84">
        <w:t>2</w:t>
      </w:r>
      <w:r w:rsidR="00155670">
        <w:t>-2 provides a comparison of</w:t>
      </w:r>
      <w:r w:rsidR="00F51373">
        <w:t xml:space="preserve"> the simulated </w:t>
      </w:r>
      <w:r w:rsidR="00155670">
        <w:t>and actual 2013 monthly building usage for identified PLS facilities.  From May through October, the months in which the PLS</w:t>
      </w:r>
      <w:r w:rsidR="00E97668">
        <w:t>-TES</w:t>
      </w:r>
      <w:r w:rsidR="00155670">
        <w:t xml:space="preserve"> system wil</w:t>
      </w:r>
      <w:r w:rsidR="00F51373">
        <w:t>l be operated, the simulat</w:t>
      </w:r>
      <w:r w:rsidR="00155670">
        <w:t xml:space="preserve">ed building usage falls within 5% of the actual usage.  </w:t>
      </w:r>
      <w:r w:rsidR="00F51373">
        <w:t xml:space="preserve">Similarly, Figure </w:t>
      </w:r>
      <w:r w:rsidR="00647B84">
        <w:t>2</w:t>
      </w:r>
      <w:r w:rsidR="00F51373">
        <w:t>-3 shows how simulated and actual 2013 hourly building usage compare during the summer time period (May through October).  With hourly usage that falls within 3% of the actual usage, the building simulations are also quite accurate across the hours of the day during the summer.  Therefore, while the building simulation modeling work would have ideally involved a site visit, by calibrating the model to 2013 hourly interval data, Nexant was able to develop models that accurately reflect how each building’s usage varies by temperature throughout the day and</w:t>
      </w:r>
      <w:r w:rsidR="00647B84">
        <w:t> </w:t>
      </w:r>
      <w:r w:rsidR="00F51373">
        <w:t>year.</w:t>
      </w:r>
      <w:r w:rsidR="008C1C00">
        <w:t xml:space="preserve">  Therefore, we can have confidence that the model accurately predicts the underlying cooling</w:t>
      </w:r>
      <w:r w:rsidR="00647B84">
        <w:t> </w:t>
      </w:r>
      <w:r w:rsidR="008C1C00">
        <w:t>usage.</w:t>
      </w:r>
    </w:p>
    <w:p w:rsidR="000F32CA" w:rsidRDefault="00155670" w:rsidP="00155670">
      <w:pPr>
        <w:pStyle w:val="TableFigureCaption"/>
      </w:pPr>
      <w:r>
        <w:t xml:space="preserve">Figure </w:t>
      </w:r>
      <w:r w:rsidR="00647B84">
        <w:t>2</w:t>
      </w:r>
      <w:r>
        <w:t xml:space="preserve">-2: Comparison of </w:t>
      </w:r>
      <w:r w:rsidR="00F51373">
        <w:t>Simulat</w:t>
      </w:r>
      <w:r>
        <w:t xml:space="preserve">ed and Actual 2013 Monthly Building Usage </w:t>
      </w:r>
      <w:r w:rsidR="00647B84">
        <w:br/>
      </w:r>
      <w:r>
        <w:t>for Identified PLS Facilities</w:t>
      </w:r>
    </w:p>
    <w:p w:rsidR="006C4394" w:rsidRDefault="00F51373" w:rsidP="006133D2">
      <w:pPr>
        <w:pStyle w:val="BodyParagraph"/>
        <w:jc w:val="center"/>
      </w:pPr>
      <w:r>
        <w:rPr>
          <w:noProof/>
        </w:rPr>
        <w:drawing>
          <wp:inline distT="0" distB="0" distL="0" distR="0" wp14:anchorId="03285E50" wp14:editId="3EB6D005">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F51373" w:rsidRDefault="00F51373" w:rsidP="00F51373">
      <w:pPr>
        <w:pStyle w:val="TableFigureCaption"/>
      </w:pPr>
      <w:r>
        <w:lastRenderedPageBreak/>
        <w:t xml:space="preserve">Figure </w:t>
      </w:r>
      <w:r w:rsidR="00647B84">
        <w:t>2</w:t>
      </w:r>
      <w:r>
        <w:t>-3: Comparison of Simulated and Actual 2013 Hourly Building Usage for Identified PLS Facilities (May through October)</w:t>
      </w:r>
    </w:p>
    <w:p w:rsidR="006133D2" w:rsidRDefault="00F51373" w:rsidP="006133D2">
      <w:pPr>
        <w:pStyle w:val="BodyParagraph"/>
        <w:jc w:val="center"/>
      </w:pPr>
      <w:r>
        <w:rPr>
          <w:noProof/>
        </w:rPr>
        <w:drawing>
          <wp:inline distT="0" distB="0" distL="0" distR="0" wp14:anchorId="06572910" wp14:editId="58CEFBBD">
            <wp:extent cx="54991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99100" cy="2755900"/>
                    </a:xfrm>
                    <a:prstGeom prst="rect">
                      <a:avLst/>
                    </a:prstGeom>
                    <a:noFill/>
                  </pic:spPr>
                </pic:pic>
              </a:graphicData>
            </a:graphic>
          </wp:inline>
        </w:drawing>
      </w:r>
    </w:p>
    <w:p w:rsidR="00F51373" w:rsidRDefault="00F51373" w:rsidP="00F51373">
      <w:pPr>
        <w:pStyle w:val="Heading4"/>
      </w:pPr>
      <w:r>
        <w:t xml:space="preserve">Step 3: Predict </w:t>
      </w:r>
      <w:r w:rsidR="00052501">
        <w:t xml:space="preserve">Cooling </w:t>
      </w:r>
      <w:r>
        <w:t xml:space="preserve">Usage </w:t>
      </w:r>
      <w:r w:rsidR="00647B84">
        <w:t>U</w:t>
      </w:r>
      <w:r>
        <w:t>nder Ex Ante Weather Conditions</w:t>
      </w:r>
    </w:p>
    <w:p w:rsidR="00551CAF" w:rsidRDefault="00052501" w:rsidP="00BF594A">
      <w:pPr>
        <w:pStyle w:val="BodyParagraph"/>
      </w:pPr>
      <w:r>
        <w:t>The final step was to predict cooling usage</w:t>
      </w:r>
      <w:r w:rsidR="008C1C00">
        <w:t xml:space="preserve"> with and without the PLS</w:t>
      </w:r>
      <w:r w:rsidR="00E97668">
        <w:t>-TES</w:t>
      </w:r>
      <w:r w:rsidR="008C1C00">
        <w:t xml:space="preserve"> system,</w:t>
      </w:r>
      <w:r>
        <w:t xml:space="preserve"> under the </w:t>
      </w:r>
      <w:proofErr w:type="spellStart"/>
      <w:r>
        <w:t>ex ante</w:t>
      </w:r>
      <w:proofErr w:type="spellEnd"/>
      <w:r>
        <w:t xml:space="preserve"> weather conditions that are required by the DR load impact protocols.</w:t>
      </w:r>
      <w:r w:rsidR="008664B5">
        <w:t xml:space="preserve">  </w:t>
      </w:r>
      <w:r w:rsidR="008C1C00">
        <w:t>By subtracting the cooling usage with the PLS</w:t>
      </w:r>
      <w:r w:rsidR="00E97668">
        <w:t>-TES</w:t>
      </w:r>
      <w:r w:rsidR="008C1C00">
        <w:t xml:space="preserve"> system from the cooling usage without the PLS</w:t>
      </w:r>
      <w:r w:rsidR="00E97668">
        <w:t>-TES</w:t>
      </w:r>
      <w:r w:rsidR="008C1C00">
        <w:t xml:space="preserve"> system, Nexant estimated the hourly impacts for each ex ante weather condition.</w:t>
      </w:r>
      <w:r w:rsidR="008C08C4">
        <w:t xml:space="preserve">  As a result, the forecast for these identified PG&amp;E projects did not rely on the </w:t>
      </w:r>
      <w:proofErr w:type="spellStart"/>
      <w:r w:rsidR="008C08C4">
        <w:t>ex ante</w:t>
      </w:r>
      <w:proofErr w:type="spellEnd"/>
      <w:r w:rsidR="008C08C4">
        <w:t xml:space="preserve"> conversion factors described in Appendix A.</w:t>
      </w:r>
      <w:r w:rsidR="00550DC4">
        <w:t xml:space="preserve">  Finally, considering that the location and installation date are known for these projects, the forecast incorporates this information by having the project come online on the expected installation date and by assigning the </w:t>
      </w:r>
      <w:proofErr w:type="spellStart"/>
      <w:r w:rsidR="00550DC4">
        <w:t>ex ante</w:t>
      </w:r>
      <w:proofErr w:type="spellEnd"/>
      <w:r w:rsidR="00550DC4">
        <w:t xml:space="preserve"> load impacts for that project to the customer’s LCA.</w:t>
      </w:r>
    </w:p>
    <w:p w:rsidR="00FC0746" w:rsidRDefault="00FC0746" w:rsidP="00FC0746">
      <w:pPr>
        <w:pStyle w:val="Heading3"/>
        <w:numPr>
          <w:ilvl w:val="2"/>
          <w:numId w:val="10"/>
        </w:numPr>
      </w:pPr>
      <w:bookmarkStart w:id="14" w:name="_Toc382926510"/>
      <w:r>
        <w:t>SCE and SDG&amp;E Approach</w:t>
      </w:r>
      <w:bookmarkEnd w:id="14"/>
    </w:p>
    <w:p w:rsidR="00107A41" w:rsidRDefault="00FC0746" w:rsidP="00BF594A">
      <w:pPr>
        <w:pStyle w:val="BodyParagraph"/>
      </w:pPr>
      <w:r>
        <w:t xml:space="preserve">At the time of the evaluation, SCE received applications for eight projects, </w:t>
      </w:r>
      <w:r w:rsidR="00550DC4">
        <w:t xml:space="preserve">and one </w:t>
      </w:r>
      <w:r>
        <w:t>has reached the feasibility study stage in the application and verification process.  SDG&amp;E received one application, and</w:t>
      </w:r>
      <w:r w:rsidR="00647B84">
        <w:t> </w:t>
      </w:r>
      <w:r>
        <w:t>that customer has submitted a feasibility study.  All of these projects are similar in size, with an expectation to deliver around 1 MW of load shift or less for each one.  Given the relatively small size of the</w:t>
      </w:r>
      <w:r w:rsidR="003F1D00">
        <w:t>se</w:t>
      </w:r>
      <w:r>
        <w:t xml:space="preserve"> projects and the large time commitment that is required for building simulation modeling</w:t>
      </w:r>
      <w:r w:rsidR="00550DC4">
        <w:t xml:space="preserve"> (even without a site visit)</w:t>
      </w:r>
      <w:r>
        <w:t>, SCE and SDG&amp;E decided t</w:t>
      </w:r>
      <w:r w:rsidR="00780872">
        <w:t>o not use</w:t>
      </w:r>
      <w:r>
        <w:t xml:space="preserve"> building simulation modeling for forecasting the </w:t>
      </w:r>
      <w:proofErr w:type="spellStart"/>
      <w:r>
        <w:t>ex ante</w:t>
      </w:r>
      <w:proofErr w:type="spellEnd"/>
      <w:r>
        <w:t xml:space="preserve"> load impacts that these projects will deliver.</w:t>
      </w:r>
      <w:r w:rsidR="003F1D00">
        <w:t xml:space="preserve">  Although building simulation modeling may produce more accurate ex ante load impact estimates, it is not certain until these projects come online and the ex post impacts are evaluated.</w:t>
      </w:r>
      <w:r>
        <w:t xml:space="preserve">  Instead</w:t>
      </w:r>
      <w:r w:rsidR="003F1D00">
        <w:t xml:space="preserve"> of building simulation modeling</w:t>
      </w:r>
      <w:r>
        <w:t xml:space="preserve">, the </w:t>
      </w:r>
      <w:proofErr w:type="spellStart"/>
      <w:r>
        <w:t>ex ante</w:t>
      </w:r>
      <w:proofErr w:type="spellEnd"/>
      <w:r>
        <w:t xml:space="preserve"> conversion factors were used to convert the expected load shift from the application/feasibility study to ex ante weather conditions.  This methodology </w:t>
      </w:r>
      <w:r w:rsidR="003F1D00">
        <w:t>was nearly identical to Step 2 and Step 3 in</w:t>
      </w:r>
      <w:r>
        <w:t xml:space="preserve"> the methodology </w:t>
      </w:r>
      <w:r w:rsidR="003F1D00">
        <w:t>used for unidentified projects, except that the incentive amount was taken from the latest available information for that project (</w:t>
      </w:r>
      <w:r w:rsidR="00DB377E">
        <w:t xml:space="preserve">the </w:t>
      </w:r>
      <w:r w:rsidR="003F1D00">
        <w:t xml:space="preserve">application or feasibility study).  In addition, considering that the location and installation date are provided in the application for identified projects, the forecast for </w:t>
      </w:r>
      <w:r w:rsidR="00550DC4">
        <w:t xml:space="preserve">SCE </w:t>
      </w:r>
      <w:r w:rsidR="00550DC4">
        <w:lastRenderedPageBreak/>
        <w:t xml:space="preserve">and SDG&amp;E </w:t>
      </w:r>
      <w:r w:rsidR="003F1D00">
        <w:t>identified projects incorporates this information by having the project come online on the</w:t>
      </w:r>
      <w:r w:rsidR="00A557DC">
        <w:t> </w:t>
      </w:r>
      <w:r w:rsidR="003F1D00">
        <w:t xml:space="preserve">expected installation date and by assigning the </w:t>
      </w:r>
      <w:proofErr w:type="spellStart"/>
      <w:r w:rsidR="003F1D00">
        <w:t>ex ante</w:t>
      </w:r>
      <w:proofErr w:type="spellEnd"/>
      <w:r w:rsidR="003F1D00">
        <w:t xml:space="preserve"> load impacts for that project to the customer’s LCA.</w:t>
      </w:r>
      <w:r w:rsidR="00107A41">
        <w:br w:type="page"/>
      </w:r>
    </w:p>
    <w:p w:rsidR="00C00432" w:rsidRDefault="00C00432" w:rsidP="00107A41">
      <w:pPr>
        <w:pStyle w:val="Heading1"/>
      </w:pPr>
      <w:bookmarkStart w:id="15" w:name="_Toc382926511"/>
      <w:r>
        <w:lastRenderedPageBreak/>
        <w:t>Summary of Assumptions</w:t>
      </w:r>
      <w:r w:rsidR="004A5BEF">
        <w:t xml:space="preserve"> and Enrollment Forecast</w:t>
      </w:r>
      <w:bookmarkEnd w:id="15"/>
    </w:p>
    <w:p w:rsidR="00572BFF" w:rsidRPr="00F5383C" w:rsidRDefault="00F5383C" w:rsidP="00507961">
      <w:pPr>
        <w:pStyle w:val="BodyParagraph"/>
      </w:pPr>
      <w:r>
        <w:t xml:space="preserve">Table 3-1 provides a summary of the </w:t>
      </w:r>
      <w:proofErr w:type="spellStart"/>
      <w:r>
        <w:t>ex ante</w:t>
      </w:r>
      <w:proofErr w:type="spellEnd"/>
      <w:r>
        <w:t xml:space="preserve"> </w:t>
      </w:r>
      <w:r w:rsidRPr="00507961">
        <w:t>forecast</w:t>
      </w:r>
      <w:r>
        <w:t xml:space="preserve"> assumptions by utility.  In the base scenario, PG&amp;E forecast</w:t>
      </w:r>
      <w:r w:rsidR="00507961">
        <w:t>s</w:t>
      </w:r>
      <w:r>
        <w:t xml:space="preserve"> that 50% of the total PLS incentive budget will be committed to projects by the end of 2014</w:t>
      </w:r>
      <w:r w:rsidR="00E5325F">
        <w:t>.</w:t>
      </w:r>
      <w:r w:rsidR="003C7B6F">
        <w:rPr>
          <w:rStyle w:val="FootnoteReference"/>
        </w:rPr>
        <w:footnoteReference w:id="12"/>
      </w:r>
      <w:r>
        <w:t xml:space="preserve">  </w:t>
      </w:r>
      <w:r w:rsidR="00507961">
        <w:t>SCE projects a 65% budget commitment by the end of 2014.  Finally, SDG&amp;E expects 75% allocation of its PLS incentive budget by the end of 2016.  The uncertainty associated with the percent of the total budget to be committed is reflected in the low and high scenarios.</w:t>
      </w:r>
      <w:r w:rsidR="00FB3B93">
        <w:t xml:space="preserve">  </w:t>
      </w:r>
      <w:r w:rsidR="000F32CA">
        <w:t xml:space="preserve">Using the applications that have been received thus far as a guide, three </w:t>
      </w:r>
      <w:r w:rsidR="00FB3B93">
        <w:t>PLS</w:t>
      </w:r>
      <w:r w:rsidR="00E97668">
        <w:t>-TES</w:t>
      </w:r>
      <w:r w:rsidR="00FB3B93">
        <w:t xml:space="preserve"> installation sizes</w:t>
      </w:r>
      <w:r w:rsidR="000F32CA">
        <w:t xml:space="preserve"> were assumed for </w:t>
      </w:r>
      <w:r w:rsidR="00FB3B93">
        <w:t>PG&amp;E’s unidentified projects –</w:t>
      </w:r>
      <w:r w:rsidR="000F32CA">
        <w:t xml:space="preserve"> small (65 kW of load shift), medium </w:t>
      </w:r>
      <w:r w:rsidR="00FB3B93">
        <w:t>(377 kW) and large (1,714 kW).  In the base case, PG&amp;E commits to two large, four medium and nine small projects</w:t>
      </w:r>
      <w:r w:rsidR="004258B4">
        <w:t>, in</w:t>
      </w:r>
      <w:r w:rsidR="00781A3A">
        <w:t xml:space="preserve"> addition to the current identified projects</w:t>
      </w:r>
      <w:r w:rsidR="00FB3B93">
        <w:t xml:space="preserve">.  In the low case, PG&amp;E commits to three additional medium projects and eight additional small projects.  In the high case, an additional </w:t>
      </w:r>
      <w:r w:rsidR="00A557DC">
        <w:t xml:space="preserve">3 </w:t>
      </w:r>
      <w:r w:rsidR="00FB3B93">
        <w:t xml:space="preserve">large, </w:t>
      </w:r>
      <w:r w:rsidR="00A557DC">
        <w:t xml:space="preserve">6 </w:t>
      </w:r>
      <w:r w:rsidR="00FB3B93">
        <w:t>medium and 30 small projects are identified.  SCE and SDG&amp;E assumed a uniform installation size of 675 kW and 750 kW, respectively</w:t>
      </w:r>
      <w:r w:rsidR="007215C6">
        <w:t>, which was informed by their somewhat homogenous mix of applications thus far</w:t>
      </w:r>
      <w:r w:rsidR="00FB3B93">
        <w:t>.</w:t>
      </w:r>
      <w:r w:rsidR="00781A3A">
        <w:t xml:space="preserve">  In the base case, these assumptions yield six additional projects for SCE and two additional projects for SDG&amp;E.</w:t>
      </w:r>
      <w:r w:rsidR="00FB3B93">
        <w:t xml:space="preserve">  Regardless of the assumed installation sizes, the total ex ante load impact</w:t>
      </w:r>
      <w:r w:rsidR="00781A3A">
        <w:t xml:space="preserve"> estimates are primarily </w:t>
      </w:r>
      <w:r w:rsidR="00FB3B93">
        <w:t>a function of the percent of the total budget to be committed by scenario.</w:t>
      </w:r>
      <w:r w:rsidR="00781A3A">
        <w:t xml:space="preserve">  Therefore, while the uniform project size assumption is most likely unrealistic for SCE and SDG&amp;E, it does not affect the main results of interest – the </w:t>
      </w:r>
      <w:proofErr w:type="spellStart"/>
      <w:r w:rsidR="00781A3A">
        <w:t>ex ante</w:t>
      </w:r>
      <w:proofErr w:type="spellEnd"/>
      <w:r w:rsidR="00781A3A">
        <w:t xml:space="preserve"> load impact estimates.</w:t>
      </w:r>
    </w:p>
    <w:p w:rsidR="00F5383C" w:rsidRDefault="00F5383C" w:rsidP="00F5383C">
      <w:pPr>
        <w:pStyle w:val="TableFigureCaption"/>
      </w:pPr>
      <w:r>
        <w:t>Table 3-1: Summary of Ex Ante Forecast Assumptions by Utility</w:t>
      </w:r>
    </w:p>
    <w:tbl>
      <w:tblPr>
        <w:tblW w:w="9738" w:type="dxa"/>
        <w:jc w:val="center"/>
        <w:tblLayout w:type="fixed"/>
        <w:tblLook w:val="04A0" w:firstRow="1" w:lastRow="0" w:firstColumn="1" w:lastColumn="0" w:noHBand="0" w:noVBand="1"/>
      </w:tblPr>
      <w:tblGrid>
        <w:gridCol w:w="2929"/>
        <w:gridCol w:w="480"/>
        <w:gridCol w:w="802"/>
        <w:gridCol w:w="1842"/>
        <w:gridCol w:w="1842"/>
        <w:gridCol w:w="1843"/>
      </w:tblGrid>
      <w:tr w:rsidR="0076586D" w:rsidRPr="0076586D" w:rsidTr="00512341">
        <w:trPr>
          <w:trHeight w:val="359"/>
          <w:tblHeader/>
          <w:jc w:val="center"/>
        </w:trPr>
        <w:tc>
          <w:tcPr>
            <w:tcW w:w="4211" w:type="dxa"/>
            <w:gridSpan w:val="3"/>
            <w:tcBorders>
              <w:top w:val="single" w:sz="4" w:space="0" w:color="000000"/>
              <w:left w:val="single" w:sz="4" w:space="0" w:color="000000"/>
              <w:bottom w:val="single" w:sz="4" w:space="0" w:color="000000"/>
              <w:right w:val="single" w:sz="4" w:space="0" w:color="FFFFFF"/>
            </w:tcBorders>
            <w:shd w:val="clear" w:color="000000" w:fill="1F497D" w:themeFill="text2"/>
            <w:vAlign w:val="center"/>
            <w:hideMark/>
          </w:tcPr>
          <w:p w:rsidR="0076586D" w:rsidRPr="0076586D" w:rsidRDefault="0076586D" w:rsidP="0002323C">
            <w:pPr>
              <w:pStyle w:val="TableHeader"/>
              <w:rPr>
                <w:rFonts w:eastAsia="Times New Roman"/>
              </w:rPr>
            </w:pPr>
            <w:r w:rsidRPr="0076586D">
              <w:rPr>
                <w:rFonts w:eastAsia="Times New Roman"/>
              </w:rPr>
              <w:t>Assumption</w:t>
            </w:r>
          </w:p>
        </w:tc>
        <w:tc>
          <w:tcPr>
            <w:tcW w:w="1842" w:type="dxa"/>
            <w:tcBorders>
              <w:top w:val="single" w:sz="4" w:space="0" w:color="000000"/>
              <w:left w:val="nil"/>
              <w:bottom w:val="single" w:sz="4" w:space="0" w:color="000000"/>
              <w:right w:val="single" w:sz="4" w:space="0" w:color="FFFFFF"/>
            </w:tcBorders>
            <w:shd w:val="clear" w:color="000000" w:fill="1F497D" w:themeFill="text2"/>
            <w:vAlign w:val="center"/>
            <w:hideMark/>
          </w:tcPr>
          <w:p w:rsidR="0076586D" w:rsidRPr="0076586D" w:rsidRDefault="0076586D" w:rsidP="0002323C">
            <w:pPr>
              <w:pStyle w:val="TableHeader"/>
              <w:rPr>
                <w:rFonts w:eastAsia="Times New Roman"/>
              </w:rPr>
            </w:pPr>
            <w:r w:rsidRPr="0076586D">
              <w:rPr>
                <w:rFonts w:eastAsia="Times New Roman"/>
              </w:rPr>
              <w:t>PG&amp;E</w:t>
            </w:r>
          </w:p>
        </w:tc>
        <w:tc>
          <w:tcPr>
            <w:tcW w:w="1842" w:type="dxa"/>
            <w:tcBorders>
              <w:top w:val="single" w:sz="4" w:space="0" w:color="000000"/>
              <w:left w:val="nil"/>
              <w:bottom w:val="single" w:sz="4" w:space="0" w:color="000000"/>
              <w:right w:val="single" w:sz="4" w:space="0" w:color="FFFFFF"/>
            </w:tcBorders>
            <w:shd w:val="clear" w:color="000000" w:fill="1F497D" w:themeFill="text2"/>
            <w:vAlign w:val="center"/>
            <w:hideMark/>
          </w:tcPr>
          <w:p w:rsidR="0076586D" w:rsidRPr="0076586D" w:rsidRDefault="0076586D" w:rsidP="0002323C">
            <w:pPr>
              <w:pStyle w:val="TableHeader"/>
              <w:rPr>
                <w:rFonts w:eastAsia="Times New Roman"/>
              </w:rPr>
            </w:pPr>
            <w:r w:rsidRPr="0076586D">
              <w:rPr>
                <w:rFonts w:eastAsia="Times New Roman"/>
              </w:rPr>
              <w:t>SCE</w:t>
            </w:r>
          </w:p>
        </w:tc>
        <w:tc>
          <w:tcPr>
            <w:tcW w:w="1843" w:type="dxa"/>
            <w:tcBorders>
              <w:top w:val="single" w:sz="4" w:space="0" w:color="000000"/>
              <w:left w:val="nil"/>
              <w:bottom w:val="single" w:sz="4" w:space="0" w:color="000000"/>
              <w:right w:val="single" w:sz="4" w:space="0" w:color="000000"/>
            </w:tcBorders>
            <w:shd w:val="clear" w:color="000000" w:fill="1F497D" w:themeFill="text2"/>
            <w:vAlign w:val="center"/>
            <w:hideMark/>
          </w:tcPr>
          <w:p w:rsidR="0076586D" w:rsidRPr="0076586D" w:rsidRDefault="0076586D" w:rsidP="0002323C">
            <w:pPr>
              <w:pStyle w:val="TableHeader"/>
              <w:rPr>
                <w:rFonts w:eastAsia="Times New Roman"/>
              </w:rPr>
            </w:pPr>
            <w:r w:rsidRPr="0076586D">
              <w:rPr>
                <w:rFonts w:eastAsia="Times New Roman"/>
              </w:rPr>
              <w:t>SDG&amp;E</w:t>
            </w:r>
          </w:p>
        </w:tc>
      </w:tr>
      <w:tr w:rsidR="0076586D" w:rsidRPr="0076586D" w:rsidTr="00ED0FDB">
        <w:trPr>
          <w:trHeight w:val="300"/>
          <w:jc w:val="center"/>
        </w:trPr>
        <w:tc>
          <w:tcPr>
            <w:tcW w:w="4211" w:type="dxa"/>
            <w:gridSpan w:val="3"/>
            <w:tcBorders>
              <w:top w:val="nil"/>
              <w:left w:val="single" w:sz="4" w:space="0" w:color="000000"/>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Total PLS Incentive Budget</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$13,500,000</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$12,690,000</w:t>
            </w:r>
          </w:p>
        </w:tc>
        <w:tc>
          <w:tcPr>
            <w:tcW w:w="1843"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$3,000,000</w:t>
            </w:r>
          </w:p>
        </w:tc>
      </w:tr>
      <w:tr w:rsidR="0076586D" w:rsidRPr="0076586D" w:rsidTr="00ED0FDB">
        <w:trPr>
          <w:trHeight w:val="300"/>
          <w:jc w:val="center"/>
        </w:trPr>
        <w:tc>
          <w:tcPr>
            <w:tcW w:w="4211"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 Committed to Identified Projects</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$1,934,700</w:t>
            </w:r>
            <w:r w:rsidR="00506D10">
              <w:rPr>
                <w:rFonts w:eastAsia="Times New Roman"/>
              </w:rPr>
              <w:br/>
            </w:r>
            <w:r w:rsidR="00506D10" w:rsidRPr="00506D10">
              <w:rPr>
                <w:rFonts w:eastAsia="Times New Roman"/>
              </w:rPr>
              <w:t>(14% of total)</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$4,725,700</w:t>
            </w:r>
            <w:r w:rsidR="00506D10">
              <w:rPr>
                <w:rFonts w:eastAsia="Times New Roman"/>
              </w:rPr>
              <w:br/>
            </w:r>
            <w:r w:rsidR="00506D10" w:rsidRPr="00506D10">
              <w:rPr>
                <w:rFonts w:eastAsia="Times New Roman"/>
              </w:rPr>
              <w:t>(37% of total)</w:t>
            </w:r>
          </w:p>
        </w:tc>
        <w:tc>
          <w:tcPr>
            <w:tcW w:w="1843"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$889,000</w:t>
            </w:r>
            <w:r w:rsidR="00506D10">
              <w:rPr>
                <w:rFonts w:eastAsia="Times New Roman"/>
              </w:rPr>
              <w:br/>
            </w:r>
            <w:r w:rsidR="00506D10" w:rsidRPr="00506D10">
              <w:rPr>
                <w:rFonts w:eastAsia="Times New Roman"/>
              </w:rPr>
              <w:t>(30% of total)</w:t>
            </w:r>
          </w:p>
        </w:tc>
      </w:tr>
      <w:tr w:rsidR="0076586D" w:rsidRPr="0076586D" w:rsidTr="00ED0FDB">
        <w:trPr>
          <w:trHeight w:val="300"/>
          <w:jc w:val="center"/>
        </w:trPr>
        <w:tc>
          <w:tcPr>
            <w:tcW w:w="4211"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Budget Remaining for Unidentified Projects</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$11,565,300</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$7,964,300</w:t>
            </w:r>
          </w:p>
        </w:tc>
        <w:tc>
          <w:tcPr>
            <w:tcW w:w="1843"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$2,111,000</w:t>
            </w:r>
          </w:p>
        </w:tc>
      </w:tr>
      <w:tr w:rsidR="0076586D" w:rsidRPr="0076586D" w:rsidTr="00ED0FDB">
        <w:trPr>
          <w:trHeight w:val="300"/>
          <w:jc w:val="center"/>
        </w:trPr>
        <w:tc>
          <w:tcPr>
            <w:tcW w:w="3409" w:type="dxa"/>
            <w:gridSpan w:val="2"/>
            <w:vMerge w:val="restart"/>
            <w:tcBorders>
              <w:top w:val="nil"/>
              <w:left w:val="single" w:sz="4" w:space="0" w:color="000000"/>
              <w:bottom w:val="single" w:sz="4" w:space="0" w:color="000000"/>
              <w:right w:val="single" w:sz="4" w:space="0" w:color="000000"/>
            </w:tcBorders>
            <w:shd w:val="clear" w:color="auto" w:fill="auto"/>
            <w:vAlign w:val="center"/>
            <w:hideMark/>
          </w:tcPr>
          <w:p w:rsidR="0076586D" w:rsidRPr="0076586D" w:rsidRDefault="0076586D" w:rsidP="0002323C">
            <w:pPr>
              <w:pStyle w:val="TableText"/>
              <w:spacing w:before="0" w:after="0"/>
              <w:rPr>
                <w:rFonts w:eastAsia="Times New Roman"/>
              </w:rPr>
            </w:pPr>
            <w:r w:rsidRPr="0076586D">
              <w:rPr>
                <w:rFonts w:eastAsia="Times New Roman"/>
              </w:rPr>
              <w:t xml:space="preserve">% of </w:t>
            </w:r>
            <w:r>
              <w:rPr>
                <w:rFonts w:eastAsia="Times New Roman"/>
              </w:rPr>
              <w:t xml:space="preserve">Total </w:t>
            </w:r>
            <w:r w:rsidRPr="0076586D">
              <w:rPr>
                <w:rFonts w:eastAsia="Times New Roman"/>
              </w:rPr>
              <w:t>Budget to be Committed by Scenario</w:t>
            </w:r>
          </w:p>
        </w:tc>
        <w:tc>
          <w:tcPr>
            <w:tcW w:w="80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Low</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25%</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40%</w:t>
            </w:r>
          </w:p>
        </w:tc>
        <w:tc>
          <w:tcPr>
            <w:tcW w:w="1843"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60%</w:t>
            </w:r>
          </w:p>
        </w:tc>
      </w:tr>
      <w:tr w:rsidR="0076586D" w:rsidRPr="0076586D" w:rsidTr="00ED0FDB">
        <w:trPr>
          <w:trHeight w:val="300"/>
          <w:jc w:val="center"/>
        </w:trPr>
        <w:tc>
          <w:tcPr>
            <w:tcW w:w="3409" w:type="dxa"/>
            <w:gridSpan w:val="2"/>
            <w:vMerge/>
            <w:tcBorders>
              <w:top w:val="nil"/>
              <w:left w:val="single" w:sz="4" w:space="0" w:color="000000"/>
              <w:bottom w:val="single" w:sz="4" w:space="0" w:color="000000"/>
              <w:right w:val="single" w:sz="4" w:space="0" w:color="000000"/>
            </w:tcBorders>
            <w:vAlign w:val="center"/>
            <w:hideMark/>
          </w:tcPr>
          <w:p w:rsidR="0076586D" w:rsidRPr="0076586D" w:rsidRDefault="0076586D" w:rsidP="0002323C">
            <w:pPr>
              <w:pStyle w:val="TableText"/>
              <w:spacing w:before="0" w:after="0"/>
              <w:rPr>
                <w:rFonts w:eastAsia="Times New Roman"/>
              </w:rPr>
            </w:pPr>
          </w:p>
        </w:tc>
        <w:tc>
          <w:tcPr>
            <w:tcW w:w="80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Base</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50%</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65%</w:t>
            </w:r>
          </w:p>
        </w:tc>
        <w:tc>
          <w:tcPr>
            <w:tcW w:w="1843"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75%</w:t>
            </w:r>
          </w:p>
        </w:tc>
      </w:tr>
      <w:tr w:rsidR="0076586D" w:rsidRPr="0076586D" w:rsidTr="00ED0FDB">
        <w:trPr>
          <w:trHeight w:val="300"/>
          <w:jc w:val="center"/>
        </w:trPr>
        <w:tc>
          <w:tcPr>
            <w:tcW w:w="3409" w:type="dxa"/>
            <w:gridSpan w:val="2"/>
            <w:vMerge/>
            <w:tcBorders>
              <w:top w:val="nil"/>
              <w:left w:val="single" w:sz="4" w:space="0" w:color="000000"/>
              <w:bottom w:val="single" w:sz="4" w:space="0" w:color="000000"/>
              <w:right w:val="single" w:sz="4" w:space="0" w:color="000000"/>
            </w:tcBorders>
            <w:vAlign w:val="center"/>
            <w:hideMark/>
          </w:tcPr>
          <w:p w:rsidR="0076586D" w:rsidRPr="0076586D" w:rsidRDefault="0076586D" w:rsidP="0002323C">
            <w:pPr>
              <w:pStyle w:val="TableText"/>
              <w:spacing w:before="0" w:after="0"/>
              <w:rPr>
                <w:rFonts w:eastAsia="Times New Roman"/>
              </w:rPr>
            </w:pPr>
          </w:p>
        </w:tc>
        <w:tc>
          <w:tcPr>
            <w:tcW w:w="80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High</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75%</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90%</w:t>
            </w:r>
          </w:p>
        </w:tc>
        <w:tc>
          <w:tcPr>
            <w:tcW w:w="1843"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90%</w:t>
            </w:r>
          </w:p>
        </w:tc>
      </w:tr>
      <w:tr w:rsidR="0076586D" w:rsidRPr="0076586D" w:rsidTr="00ED0FDB">
        <w:trPr>
          <w:trHeight w:val="300"/>
          <w:jc w:val="center"/>
        </w:trPr>
        <w:tc>
          <w:tcPr>
            <w:tcW w:w="4211"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Time Period of Budget Commitment</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2014</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2014</w:t>
            </w:r>
          </w:p>
        </w:tc>
        <w:tc>
          <w:tcPr>
            <w:tcW w:w="1843"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2014-2016</w:t>
            </w:r>
          </w:p>
        </w:tc>
      </w:tr>
      <w:tr w:rsidR="0076586D" w:rsidRPr="0076586D" w:rsidTr="00ED0FDB">
        <w:trPr>
          <w:trHeight w:val="300"/>
          <w:jc w:val="center"/>
        </w:trPr>
        <w:tc>
          <w:tcPr>
            <w:tcW w:w="4211"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 of Projects Dropped After Budget Commitment</w:t>
            </w:r>
          </w:p>
        </w:tc>
        <w:tc>
          <w:tcPr>
            <w:tcW w:w="5527" w:type="dxa"/>
            <w:gridSpan w:val="3"/>
            <w:tcBorders>
              <w:top w:val="single" w:sz="4" w:space="0" w:color="000000"/>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10%</w:t>
            </w:r>
          </w:p>
        </w:tc>
      </w:tr>
      <w:tr w:rsidR="0076586D" w:rsidRPr="0076586D" w:rsidTr="00ED0FDB">
        <w:trPr>
          <w:trHeight w:val="300"/>
          <w:jc w:val="center"/>
        </w:trPr>
        <w:tc>
          <w:tcPr>
            <w:tcW w:w="4211"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Annual % Degradation (After Year 5)</w:t>
            </w:r>
          </w:p>
        </w:tc>
        <w:tc>
          <w:tcPr>
            <w:tcW w:w="5527" w:type="dxa"/>
            <w:gridSpan w:val="3"/>
            <w:tcBorders>
              <w:top w:val="single" w:sz="4" w:space="0" w:color="000000"/>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2.5%</w:t>
            </w:r>
          </w:p>
        </w:tc>
      </w:tr>
      <w:tr w:rsidR="0076586D" w:rsidRPr="0076586D" w:rsidTr="00ED0FDB">
        <w:trPr>
          <w:trHeight w:val="60"/>
          <w:jc w:val="center"/>
        </w:trPr>
        <w:tc>
          <w:tcPr>
            <w:tcW w:w="4211" w:type="dxa"/>
            <w:gridSpan w:val="3"/>
            <w:tcBorders>
              <w:top w:val="single" w:sz="4" w:space="0" w:color="000000"/>
              <w:left w:val="single" w:sz="4" w:space="0" w:color="000000"/>
              <w:bottom w:val="nil"/>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Installation Size (kW)</w:t>
            </w:r>
          </w:p>
        </w:tc>
        <w:tc>
          <w:tcPr>
            <w:tcW w:w="1842" w:type="dxa"/>
            <w:tcBorders>
              <w:top w:val="nil"/>
              <w:left w:val="nil"/>
              <w:bottom w:val="single" w:sz="4" w:space="0" w:color="000000"/>
              <w:right w:val="single" w:sz="4" w:space="0" w:color="000000"/>
            </w:tcBorders>
            <w:shd w:val="clear" w:color="auto" w:fill="auto"/>
            <w:vAlign w:val="center"/>
            <w:hideMark/>
          </w:tcPr>
          <w:p w:rsidR="0076586D" w:rsidRPr="0076586D" w:rsidRDefault="0076586D" w:rsidP="0002323C">
            <w:pPr>
              <w:pStyle w:val="TableText"/>
              <w:spacing w:before="0" w:after="0"/>
              <w:rPr>
                <w:rFonts w:eastAsia="Times New Roman"/>
              </w:rPr>
            </w:pPr>
            <w:r w:rsidRPr="0076586D">
              <w:rPr>
                <w:rFonts w:eastAsia="Times New Roman"/>
              </w:rPr>
              <w:t xml:space="preserve">Small </w:t>
            </w:r>
            <w:r w:rsidR="00EA72EE">
              <w:rPr>
                <w:rFonts w:eastAsia="Times New Roman"/>
              </w:rPr>
              <w:t>–</w:t>
            </w:r>
            <w:r w:rsidRPr="0076586D">
              <w:rPr>
                <w:rFonts w:eastAsia="Times New Roman"/>
              </w:rPr>
              <w:t xml:space="preserve"> 65 kW, Medium </w:t>
            </w:r>
            <w:r w:rsidR="00EA72EE">
              <w:rPr>
                <w:rFonts w:eastAsia="Times New Roman"/>
              </w:rPr>
              <w:t>–</w:t>
            </w:r>
            <w:r w:rsidRPr="0076586D">
              <w:rPr>
                <w:rFonts w:eastAsia="Times New Roman"/>
              </w:rPr>
              <w:t xml:space="preserve"> 377 kW, Large </w:t>
            </w:r>
            <w:r w:rsidR="00F5383C">
              <w:rPr>
                <w:rFonts w:eastAsia="Times New Roman"/>
              </w:rPr>
              <w:t>–</w:t>
            </w:r>
            <w:r w:rsidRPr="0076586D">
              <w:rPr>
                <w:rFonts w:eastAsia="Times New Roman"/>
              </w:rPr>
              <w:t xml:space="preserve"> 1</w:t>
            </w:r>
            <w:r w:rsidR="00F5383C">
              <w:rPr>
                <w:rFonts w:eastAsia="Times New Roman"/>
              </w:rPr>
              <w:t>,</w:t>
            </w:r>
            <w:r w:rsidRPr="0076586D">
              <w:rPr>
                <w:rFonts w:eastAsia="Times New Roman"/>
              </w:rPr>
              <w:t>714 kW</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675 kW</w:t>
            </w:r>
          </w:p>
        </w:tc>
        <w:tc>
          <w:tcPr>
            <w:tcW w:w="1843" w:type="dxa"/>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750 kW</w:t>
            </w:r>
          </w:p>
        </w:tc>
      </w:tr>
      <w:tr w:rsidR="0076586D" w:rsidRPr="0076586D" w:rsidTr="00ED0FDB">
        <w:trPr>
          <w:trHeight w:val="300"/>
          <w:jc w:val="center"/>
        </w:trPr>
        <w:tc>
          <w:tcPr>
            <w:tcW w:w="2929"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Timing of When Projects Come Online</w:t>
            </w:r>
          </w:p>
        </w:tc>
        <w:tc>
          <w:tcPr>
            <w:tcW w:w="1282" w:type="dxa"/>
            <w:gridSpan w:val="2"/>
            <w:tcBorders>
              <w:top w:val="single" w:sz="4" w:space="0" w:color="000000"/>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Identified</w:t>
            </w:r>
          </w:p>
        </w:tc>
        <w:tc>
          <w:tcPr>
            <w:tcW w:w="5527" w:type="dxa"/>
            <w:gridSpan w:val="3"/>
            <w:tcBorders>
              <w:top w:val="single" w:sz="4" w:space="0" w:color="000000"/>
              <w:left w:val="nil"/>
              <w:bottom w:val="single" w:sz="4" w:space="0" w:color="000000"/>
              <w:right w:val="single" w:sz="4" w:space="0" w:color="000000"/>
            </w:tcBorders>
            <w:shd w:val="clear" w:color="auto" w:fill="auto"/>
            <w:noWrap/>
            <w:vAlign w:val="center"/>
            <w:hideMark/>
          </w:tcPr>
          <w:p w:rsidR="0076586D" w:rsidRPr="0076586D" w:rsidRDefault="00507961" w:rsidP="0002323C">
            <w:pPr>
              <w:pStyle w:val="TableText"/>
              <w:spacing w:before="0" w:after="0"/>
              <w:rPr>
                <w:rFonts w:eastAsia="Times New Roman"/>
              </w:rPr>
            </w:pPr>
            <w:r>
              <w:rPr>
                <w:rFonts w:eastAsia="Times New Roman"/>
              </w:rPr>
              <w:t>Based on most recent information regarding proposed project</w:t>
            </w:r>
          </w:p>
        </w:tc>
      </w:tr>
      <w:tr w:rsidR="0076586D" w:rsidRPr="0076586D" w:rsidTr="00ED0FDB">
        <w:trPr>
          <w:trHeight w:val="300"/>
          <w:jc w:val="center"/>
        </w:trPr>
        <w:tc>
          <w:tcPr>
            <w:tcW w:w="2929" w:type="dxa"/>
            <w:vMerge/>
            <w:tcBorders>
              <w:top w:val="single" w:sz="4" w:space="0" w:color="000000"/>
              <w:left w:val="single" w:sz="4" w:space="0" w:color="000000"/>
              <w:bottom w:val="single" w:sz="4" w:space="0" w:color="000000"/>
              <w:right w:val="single" w:sz="4" w:space="0" w:color="000000"/>
            </w:tcBorders>
            <w:vAlign w:val="center"/>
            <w:hideMark/>
          </w:tcPr>
          <w:p w:rsidR="0076586D" w:rsidRPr="0076586D" w:rsidRDefault="0076586D" w:rsidP="0002323C">
            <w:pPr>
              <w:pStyle w:val="TableText"/>
              <w:spacing w:before="0" w:after="0"/>
              <w:rPr>
                <w:rFonts w:eastAsia="Times New Roman"/>
              </w:rPr>
            </w:pPr>
          </w:p>
        </w:tc>
        <w:tc>
          <w:tcPr>
            <w:tcW w:w="1282" w:type="dxa"/>
            <w:gridSpan w:val="2"/>
            <w:tcBorders>
              <w:top w:val="nil"/>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Unidentified</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F5383C" w:rsidP="0002323C">
            <w:pPr>
              <w:pStyle w:val="TableText"/>
              <w:spacing w:before="0" w:after="0"/>
              <w:rPr>
                <w:rFonts w:eastAsia="Times New Roman"/>
              </w:rPr>
            </w:pPr>
            <w:r>
              <w:rPr>
                <w:rFonts w:eastAsia="Times New Roman"/>
              </w:rPr>
              <w:t xml:space="preserve">Small </w:t>
            </w:r>
            <w:r w:rsidR="00EA72EE">
              <w:rPr>
                <w:rFonts w:eastAsia="Times New Roman"/>
              </w:rPr>
              <w:t>–</w:t>
            </w:r>
            <w:r>
              <w:rPr>
                <w:rFonts w:eastAsia="Times New Roman"/>
              </w:rPr>
              <w:t xml:space="preserve"> 2015, Medium </w:t>
            </w:r>
            <w:r w:rsidR="00CB6C6A">
              <w:rPr>
                <w:rFonts w:eastAsia="Times New Roman"/>
              </w:rPr>
              <w:t>–</w:t>
            </w:r>
            <w:r>
              <w:rPr>
                <w:rFonts w:eastAsia="Times New Roman"/>
              </w:rPr>
              <w:t xml:space="preserve"> 2015</w:t>
            </w:r>
            <w:r w:rsidR="00CB6C6A">
              <w:rPr>
                <w:rFonts w:eastAsia="Times New Roman"/>
              </w:rPr>
              <w:t>-16</w:t>
            </w:r>
            <w:r w:rsidR="0076586D" w:rsidRPr="0076586D">
              <w:rPr>
                <w:rFonts w:eastAsia="Times New Roman"/>
              </w:rPr>
              <w:t xml:space="preserve">, Large </w:t>
            </w:r>
            <w:r w:rsidR="00EA72EE">
              <w:rPr>
                <w:rFonts w:eastAsia="Times New Roman"/>
              </w:rPr>
              <w:t>–</w:t>
            </w:r>
            <w:r w:rsidR="0076586D" w:rsidRPr="0076586D">
              <w:rPr>
                <w:rFonts w:eastAsia="Times New Roman"/>
              </w:rPr>
              <w:t xml:space="preserve"> 2016</w:t>
            </w:r>
          </w:p>
        </w:tc>
        <w:tc>
          <w:tcPr>
            <w:tcW w:w="1842" w:type="dxa"/>
            <w:tcBorders>
              <w:top w:val="nil"/>
              <w:left w:val="nil"/>
              <w:bottom w:val="single" w:sz="4" w:space="0" w:color="000000"/>
              <w:right w:val="single" w:sz="4" w:space="0" w:color="000000"/>
            </w:tcBorders>
            <w:shd w:val="clear" w:color="auto" w:fill="auto"/>
            <w:noWrap/>
            <w:vAlign w:val="center"/>
            <w:hideMark/>
          </w:tcPr>
          <w:p w:rsidR="0076586D" w:rsidRPr="0076586D" w:rsidRDefault="00BC6EC4" w:rsidP="0002323C">
            <w:pPr>
              <w:pStyle w:val="TableText"/>
              <w:spacing w:before="0" w:after="0"/>
              <w:rPr>
                <w:rFonts w:eastAsia="Times New Roman"/>
              </w:rPr>
            </w:pPr>
            <w:r>
              <w:rPr>
                <w:rFonts w:eastAsia="Times New Roman"/>
              </w:rPr>
              <w:t>2015-</w:t>
            </w:r>
            <w:r w:rsidR="0076586D" w:rsidRPr="0076586D">
              <w:rPr>
                <w:rFonts w:eastAsia="Times New Roman"/>
              </w:rPr>
              <w:t>2016</w:t>
            </w:r>
          </w:p>
        </w:tc>
        <w:tc>
          <w:tcPr>
            <w:tcW w:w="1843" w:type="dxa"/>
            <w:tcBorders>
              <w:top w:val="nil"/>
              <w:left w:val="nil"/>
              <w:bottom w:val="single" w:sz="4" w:space="0" w:color="000000"/>
              <w:right w:val="single" w:sz="4" w:space="0" w:color="000000"/>
            </w:tcBorders>
            <w:shd w:val="clear" w:color="auto" w:fill="auto"/>
            <w:noWrap/>
            <w:vAlign w:val="center"/>
            <w:hideMark/>
          </w:tcPr>
          <w:p w:rsidR="0076586D" w:rsidRPr="0076586D" w:rsidRDefault="00F5383C" w:rsidP="0002323C">
            <w:pPr>
              <w:pStyle w:val="TableText"/>
              <w:spacing w:before="0" w:after="0"/>
              <w:rPr>
                <w:rFonts w:eastAsia="Times New Roman"/>
              </w:rPr>
            </w:pPr>
            <w:r>
              <w:rPr>
                <w:rFonts w:eastAsia="Times New Roman"/>
              </w:rPr>
              <w:t>2015-2016</w:t>
            </w:r>
          </w:p>
        </w:tc>
      </w:tr>
      <w:tr w:rsidR="0076586D" w:rsidRPr="0076586D" w:rsidTr="00ED0FDB">
        <w:trPr>
          <w:trHeight w:val="300"/>
          <w:jc w:val="center"/>
        </w:trPr>
        <w:tc>
          <w:tcPr>
            <w:tcW w:w="4211" w:type="dxa"/>
            <w:gridSpan w:val="3"/>
            <w:tcBorders>
              <w:top w:val="nil"/>
              <w:left w:val="single" w:sz="4" w:space="0" w:color="000000"/>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Location of Installations</w:t>
            </w:r>
          </w:p>
        </w:tc>
        <w:tc>
          <w:tcPr>
            <w:tcW w:w="5527" w:type="dxa"/>
            <w:gridSpan w:val="3"/>
            <w:tcBorders>
              <w:top w:val="single" w:sz="4" w:space="0" w:color="000000"/>
              <w:left w:val="nil"/>
              <w:bottom w:val="single" w:sz="4" w:space="0" w:color="000000"/>
              <w:right w:val="single" w:sz="4" w:space="0" w:color="000000"/>
            </w:tcBorders>
            <w:shd w:val="clear" w:color="auto" w:fill="auto"/>
            <w:noWrap/>
            <w:vAlign w:val="center"/>
            <w:hideMark/>
          </w:tcPr>
          <w:p w:rsidR="0076586D" w:rsidRPr="0076586D" w:rsidRDefault="0076586D" w:rsidP="0002323C">
            <w:pPr>
              <w:pStyle w:val="TableText"/>
              <w:spacing w:before="0" w:after="0"/>
              <w:rPr>
                <w:rFonts w:eastAsia="Times New Roman"/>
              </w:rPr>
            </w:pPr>
            <w:r w:rsidRPr="0076586D">
              <w:rPr>
                <w:rFonts w:eastAsia="Times New Roman"/>
              </w:rPr>
              <w:t>Distributed by LCA, proportional to C&amp;I population</w:t>
            </w:r>
          </w:p>
        </w:tc>
      </w:tr>
    </w:tbl>
    <w:p w:rsidR="00A557DC" w:rsidRDefault="00A557DC" w:rsidP="003E4B65">
      <w:pPr>
        <w:pStyle w:val="BodyParaAfterTableFigure"/>
      </w:pPr>
      <w:r>
        <w:lastRenderedPageBreak/>
        <w:t>As discussed in Section 2.1, f</w:t>
      </w:r>
      <w:r w:rsidRPr="00572BFF">
        <w:t>ive years after each forecasted PLS</w:t>
      </w:r>
      <w:r w:rsidR="00E97668">
        <w:t>-TES</w:t>
      </w:r>
      <w:r w:rsidRPr="00572BFF">
        <w:t xml:space="preserve"> installation, the </w:t>
      </w:r>
      <w:proofErr w:type="spellStart"/>
      <w:r w:rsidRPr="00572BFF">
        <w:t>ex ante</w:t>
      </w:r>
      <w:proofErr w:type="spellEnd"/>
      <w:r w:rsidRPr="00572BFF">
        <w:t xml:space="preserve"> impacts begin </w:t>
      </w:r>
      <w:r w:rsidRPr="00A557DC">
        <w:t>to</w:t>
      </w:r>
      <w:r>
        <w:t> </w:t>
      </w:r>
      <w:r w:rsidRPr="00A557DC">
        <w:t>degrade</w:t>
      </w:r>
      <w:r w:rsidRPr="00572BFF">
        <w:t xml:space="preserve"> at a rate of 2.5% per year.  Over time, the load shifting capacity of the PLS</w:t>
      </w:r>
      <w:r w:rsidR="00E97668">
        <w:t>-TES</w:t>
      </w:r>
      <w:r w:rsidRPr="00572BFF">
        <w:t xml:space="preserve"> technologies is expected to degrade as the system ages.  This assumption was made in consultation with program managers, and it is consistent with last year’s evaluation.</w:t>
      </w:r>
      <w:r>
        <w:t xml:space="preserve">  In addition, w</w:t>
      </w:r>
      <w:r w:rsidRPr="00BF594A">
        <w:t xml:space="preserve">ithout any information on where these projects will be located, </w:t>
      </w:r>
      <w:r>
        <w:t>the aggregate peak load shift was allocated to each LCA</w:t>
      </w:r>
      <w:r w:rsidRPr="00BF594A">
        <w:t xml:space="preserve"> </w:t>
      </w:r>
      <w:r>
        <w:t>in proportion to</w:t>
      </w:r>
      <w:r w:rsidRPr="00BF594A">
        <w:t xml:space="preserve"> the </w:t>
      </w:r>
      <w:r>
        <w:t>distribution</w:t>
      </w:r>
      <w:r w:rsidRPr="00BF594A">
        <w:t xml:space="preserve"> of nonresidential customers located in each LCA.</w:t>
      </w:r>
      <w:r>
        <w:t xml:space="preserve">  Considering that the utilities have received applications from customers that are located in LCAs that are not usually associated with having high cooling load, the expectation regarding where these PLS-TES installations will come online has been unclear.  B</w:t>
      </w:r>
      <w:r w:rsidR="00E97668">
        <w:t xml:space="preserve">asically, with process cooling </w:t>
      </w:r>
      <w:r>
        <w:t>being eligible for PLS program incentives, the program is viable in many different climates, as the current applications have indicated.</w:t>
      </w:r>
    </w:p>
    <w:p w:rsidR="0054686D" w:rsidRDefault="001836C9" w:rsidP="0002323C">
      <w:pPr>
        <w:pStyle w:val="BodyParagraph"/>
      </w:pPr>
      <w:r>
        <w:t>Based on these assumptions, Figure 3-1</w:t>
      </w:r>
      <w:r w:rsidR="0054686D">
        <w:t xml:space="preserve"> p</w:t>
      </w:r>
      <w:r>
        <w:t>rovides the enrollment forecast by utility and type of project for the base scenario.  As discussed in Section 2, customers are not defined as enrolled until their PLS</w:t>
      </w:r>
      <w:r w:rsidR="00E97668">
        <w:t>-TES</w:t>
      </w:r>
      <w:r>
        <w:t xml:space="preserve"> installation has come online.  Given the timeline required for the PLS application and verification process, the enrollment forecast does not show any projects coming online until 2015.  In 2015, most of the enrollment comes from PG&amp;E’s small and medium unidentified projects.  Most of the PG&amp;E and SCE identified project</w:t>
      </w:r>
      <w:r w:rsidR="003E4B65">
        <w:t>s</w:t>
      </w:r>
      <w:r>
        <w:t xml:space="preserve"> are expected to come online by the end of 201</w:t>
      </w:r>
      <w:r w:rsidR="003E4B65">
        <w:t>5</w:t>
      </w:r>
      <w:r>
        <w:t xml:space="preserve"> as well.  Enrollment reaches a steady state in 2017, with around 32 projects in the </w:t>
      </w:r>
      <w:r w:rsidR="00C72B69">
        <w:t xml:space="preserve">Statewide </w:t>
      </w:r>
      <w:r>
        <w:t xml:space="preserve">PLS program.  Again, this evaluation only includes projects that </w:t>
      </w:r>
      <w:r w:rsidR="003E4B65">
        <w:t>SDG&amp;E commits to in 2014</w:t>
      </w:r>
      <w:r w:rsidR="00A557DC">
        <w:t>–</w:t>
      </w:r>
      <w:r w:rsidR="003E4B65">
        <w:t>2016 and projects that PG&amp;E and SCE commit to by</w:t>
      </w:r>
      <w:r w:rsidR="00A557DC">
        <w:t> </w:t>
      </w:r>
      <w:r w:rsidR="003E4B65">
        <w:t>the end of 2014, so if the PLS incentive budget expands or if funding is extended past the current deadline</w:t>
      </w:r>
      <w:r w:rsidR="00A02F93">
        <w:t xml:space="preserve">s, the program will have higher </w:t>
      </w:r>
      <w:r w:rsidR="003E4B65">
        <w:t>enrollment</w:t>
      </w:r>
      <w:r w:rsidR="00A02F93">
        <w:t xml:space="preserve"> potential</w:t>
      </w:r>
      <w:r w:rsidR="003E4B65">
        <w:t>.</w:t>
      </w:r>
    </w:p>
    <w:p w:rsidR="00163F18" w:rsidRPr="00C00432" w:rsidRDefault="000D05A0" w:rsidP="000D05A0">
      <w:pPr>
        <w:pStyle w:val="TableFigureCaption"/>
      </w:pPr>
      <w:r>
        <w:t>Figure 3-1: Enrollment Forecast by Utility and Type of Project – Base Scenario</w:t>
      </w:r>
    </w:p>
    <w:p w:rsidR="00C00432" w:rsidRPr="00C00432" w:rsidRDefault="001836C9" w:rsidP="001836C9">
      <w:pPr>
        <w:pStyle w:val="BodyParagraph"/>
        <w:jc w:val="center"/>
      </w:pPr>
      <w:r>
        <w:rPr>
          <w:noProof/>
        </w:rPr>
        <w:drawing>
          <wp:inline distT="0" distB="0" distL="0" distR="0" wp14:anchorId="179C72F4" wp14:editId="67F2C6B1">
            <wp:extent cx="4584700" cy="3590925"/>
            <wp:effectExtent l="0" t="0" r="635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84700" cy="3590925"/>
                    </a:xfrm>
                    <a:prstGeom prst="rect">
                      <a:avLst/>
                    </a:prstGeom>
                    <a:noFill/>
                  </pic:spPr>
                </pic:pic>
              </a:graphicData>
            </a:graphic>
          </wp:inline>
        </w:drawing>
      </w:r>
    </w:p>
    <w:p w:rsidR="002F663B" w:rsidRDefault="002F663B" w:rsidP="00825E80">
      <w:pPr>
        <w:pStyle w:val="BodyParaAfterTableFigure"/>
        <w:sectPr w:rsidR="002F663B" w:rsidSect="008664B5">
          <w:headerReference w:type="default" r:id="rId24"/>
          <w:pgSz w:w="12240" w:h="15840"/>
          <w:pgMar w:top="1440" w:right="1440" w:bottom="1440" w:left="1440" w:header="720" w:footer="720" w:gutter="0"/>
          <w:cols w:space="720"/>
          <w:docGrid w:linePitch="360"/>
        </w:sectPr>
      </w:pPr>
      <w:r>
        <w:lastRenderedPageBreak/>
        <w:t>Table 3-2 provides the PLS program enrollment forecast by utility and LCA</w:t>
      </w:r>
      <w:r w:rsidR="003903E5">
        <w:t>, for the months in which impacts are estimated</w:t>
      </w:r>
      <w:r>
        <w:t>.</w:t>
      </w:r>
      <w:r w:rsidR="001D27E8" w:rsidRPr="001D27E8">
        <w:t xml:space="preserve"> </w:t>
      </w:r>
      <w:r w:rsidR="001D27E8">
        <w:t xml:space="preserve"> As discussed, given the timeline required for the PLS application and verification process, the enrollment forecast does not show any projects coming online until 2015.</w:t>
      </w:r>
      <w:r>
        <w:t xml:space="preserve">  </w:t>
      </w:r>
      <w:r w:rsidR="00717EB1">
        <w:t xml:space="preserve">Of all the LCAs in California, the greatest number of PLS program installations is expected to occur in the LA Basin LCA (11 of 32 installations).  The Greater Bay Area is the only other LCA in California that is forecasted to have more than four PLS program installations. </w:t>
      </w:r>
      <w:r w:rsidR="00A557DC">
        <w:t xml:space="preserve"> </w:t>
      </w:r>
      <w:r>
        <w:t xml:space="preserve">Within two of the LCAs, the expected number of PLS program installations that will come online is less than one.  While fractions of installations are not possible in reality, these projected enrollment numbers </w:t>
      </w:r>
      <w:r w:rsidR="00717EB1">
        <w:t xml:space="preserve">properly reflect the uncertainty of the forecast.  In this case, the realistic expectation is </w:t>
      </w:r>
      <w:r w:rsidR="001D27E8">
        <w:t>that every LCA</w:t>
      </w:r>
      <w:r w:rsidR="00F428C8">
        <w:t xml:space="preserve"> </w:t>
      </w:r>
      <w:r w:rsidR="001D27E8">
        <w:t>has a chance of ultimately having</w:t>
      </w:r>
      <w:r w:rsidR="00F428C8">
        <w:t xml:space="preserve"> a PLS program installation.  However, because two of th</w:t>
      </w:r>
      <w:r w:rsidR="00F37CA7">
        <w:t xml:space="preserve">e LCAs </w:t>
      </w:r>
      <w:r w:rsidR="003903E5">
        <w:t>are so small in terms of the number of</w:t>
      </w:r>
      <w:r w:rsidR="00F37CA7">
        <w:t xml:space="preserve"> IOU customers</w:t>
      </w:r>
      <w:r w:rsidR="003903E5">
        <w:t xml:space="preserve"> that are located there</w:t>
      </w:r>
      <w:r w:rsidR="00F428C8">
        <w:t>, the expected number of</w:t>
      </w:r>
      <w:r w:rsidR="001D27E8">
        <w:t xml:space="preserve"> installations is less than one in those two LCAs.</w:t>
      </w:r>
    </w:p>
    <w:p w:rsidR="002F663B" w:rsidRDefault="002F663B" w:rsidP="00825E80">
      <w:pPr>
        <w:pStyle w:val="TableFigureCaption"/>
      </w:pPr>
      <w:r>
        <w:lastRenderedPageBreak/>
        <w:t>Table 3-2: PLS Program Enrollment Forecast by Utility and LCA</w:t>
      </w:r>
      <w:r w:rsidR="00717EB1">
        <w:t xml:space="preserve"> – Base Scenario</w:t>
      </w:r>
    </w:p>
    <w:tbl>
      <w:tblPr>
        <w:tblW w:w="13120" w:type="dxa"/>
        <w:jc w:val="center"/>
        <w:tblLook w:val="04A0" w:firstRow="1" w:lastRow="0" w:firstColumn="1" w:lastColumn="0" w:noHBand="0" w:noVBand="1"/>
      </w:tblPr>
      <w:tblGrid>
        <w:gridCol w:w="960"/>
        <w:gridCol w:w="1660"/>
        <w:gridCol w:w="500"/>
        <w:gridCol w:w="511"/>
        <w:gridCol w:w="500"/>
        <w:gridCol w:w="500"/>
        <w:gridCol w:w="500"/>
        <w:gridCol w:w="500"/>
        <w:gridCol w:w="500"/>
        <w:gridCol w:w="500"/>
        <w:gridCol w:w="511"/>
        <w:gridCol w:w="500"/>
        <w:gridCol w:w="500"/>
        <w:gridCol w:w="500"/>
        <w:gridCol w:w="500"/>
        <w:gridCol w:w="500"/>
        <w:gridCol w:w="500"/>
        <w:gridCol w:w="511"/>
        <w:gridCol w:w="500"/>
        <w:gridCol w:w="500"/>
        <w:gridCol w:w="500"/>
        <w:gridCol w:w="500"/>
        <w:gridCol w:w="500"/>
      </w:tblGrid>
      <w:tr w:rsidR="003903E5" w:rsidRPr="003903E5" w:rsidTr="00512341">
        <w:trPr>
          <w:trHeight w:val="300"/>
          <w:jc w:val="center"/>
        </w:trPr>
        <w:tc>
          <w:tcPr>
            <w:tcW w:w="960" w:type="dxa"/>
            <w:vMerge w:val="restart"/>
            <w:tcBorders>
              <w:top w:val="single" w:sz="4" w:space="0" w:color="000000"/>
              <w:left w:val="single" w:sz="4" w:space="0" w:color="000000"/>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rPr>
            </w:pPr>
            <w:r w:rsidRPr="003903E5">
              <w:rPr>
                <w:rFonts w:eastAsia="Times New Roman"/>
              </w:rPr>
              <w:t>Utility</w:t>
            </w:r>
          </w:p>
        </w:tc>
        <w:tc>
          <w:tcPr>
            <w:tcW w:w="1660" w:type="dxa"/>
            <w:vMerge w:val="restart"/>
            <w:tcBorders>
              <w:top w:val="single" w:sz="4" w:space="0" w:color="000000"/>
              <w:left w:val="single" w:sz="4" w:space="0" w:color="FFFFFF"/>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rPr>
            </w:pPr>
            <w:r w:rsidRPr="003903E5">
              <w:rPr>
                <w:rFonts w:eastAsia="Times New Roman"/>
              </w:rPr>
              <w:t>LCA</w:t>
            </w:r>
          </w:p>
        </w:tc>
        <w:tc>
          <w:tcPr>
            <w:tcW w:w="3500" w:type="dxa"/>
            <w:gridSpan w:val="7"/>
            <w:tcBorders>
              <w:top w:val="single" w:sz="4" w:space="0" w:color="000000"/>
              <w:left w:val="nil"/>
              <w:bottom w:val="single" w:sz="4" w:space="0" w:color="FFFFFF"/>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rPr>
            </w:pPr>
            <w:r w:rsidRPr="003903E5">
              <w:rPr>
                <w:rFonts w:eastAsia="Times New Roman"/>
              </w:rPr>
              <w:t>2015</w:t>
            </w:r>
          </w:p>
        </w:tc>
        <w:tc>
          <w:tcPr>
            <w:tcW w:w="3500" w:type="dxa"/>
            <w:gridSpan w:val="7"/>
            <w:tcBorders>
              <w:top w:val="single" w:sz="4" w:space="0" w:color="000000"/>
              <w:left w:val="nil"/>
              <w:bottom w:val="single" w:sz="4" w:space="0" w:color="FFFFFF"/>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rPr>
            </w:pPr>
            <w:r w:rsidRPr="003903E5">
              <w:rPr>
                <w:rFonts w:eastAsia="Times New Roman"/>
              </w:rPr>
              <w:t>2016</w:t>
            </w:r>
          </w:p>
        </w:tc>
        <w:tc>
          <w:tcPr>
            <w:tcW w:w="3500" w:type="dxa"/>
            <w:gridSpan w:val="7"/>
            <w:tcBorders>
              <w:top w:val="single" w:sz="4" w:space="0" w:color="000000"/>
              <w:left w:val="nil"/>
              <w:bottom w:val="single" w:sz="4" w:space="0" w:color="FFFFFF"/>
              <w:right w:val="single" w:sz="4" w:space="0" w:color="000000"/>
            </w:tcBorders>
            <w:shd w:val="clear" w:color="auto" w:fill="1F497D" w:themeFill="text2"/>
            <w:vAlign w:val="center"/>
            <w:hideMark/>
          </w:tcPr>
          <w:p w:rsidR="003903E5" w:rsidRPr="003903E5" w:rsidRDefault="003903E5" w:rsidP="0002323C">
            <w:pPr>
              <w:pStyle w:val="TableHeader"/>
              <w:rPr>
                <w:rFonts w:eastAsia="Times New Roman"/>
              </w:rPr>
            </w:pPr>
            <w:r w:rsidRPr="003903E5">
              <w:rPr>
                <w:rFonts w:eastAsia="Times New Roman"/>
              </w:rPr>
              <w:t>2017-2024</w:t>
            </w:r>
          </w:p>
        </w:tc>
      </w:tr>
      <w:tr w:rsidR="0002323C" w:rsidRPr="003903E5" w:rsidTr="00A557DC">
        <w:trPr>
          <w:trHeight w:val="300"/>
          <w:jc w:val="center"/>
        </w:trPr>
        <w:tc>
          <w:tcPr>
            <w:tcW w:w="960" w:type="dxa"/>
            <w:vMerge/>
            <w:tcBorders>
              <w:top w:val="single" w:sz="4" w:space="0" w:color="000000"/>
              <w:left w:val="single" w:sz="4" w:space="0" w:color="000000"/>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rPr>
            </w:pPr>
          </w:p>
        </w:tc>
        <w:tc>
          <w:tcPr>
            <w:tcW w:w="1660" w:type="dxa"/>
            <w:vMerge/>
            <w:tcBorders>
              <w:top w:val="single" w:sz="4" w:space="0" w:color="000000"/>
              <w:left w:val="single" w:sz="4" w:space="0" w:color="FFFFFF"/>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rPr>
            </w:pP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Apr</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May</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Jun</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Jul</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Aug</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Sep</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Oct</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Apr</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May</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Jun</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Jul</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Aug</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Sep</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Oct</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Apr</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May</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Jun</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Jul</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Aug</w:t>
            </w:r>
          </w:p>
        </w:tc>
        <w:tc>
          <w:tcPr>
            <w:tcW w:w="500" w:type="dxa"/>
            <w:tcBorders>
              <w:top w:val="nil"/>
              <w:left w:val="nil"/>
              <w:bottom w:val="single" w:sz="4" w:space="0" w:color="000000"/>
              <w:right w:val="single" w:sz="4" w:space="0" w:color="FFFFFF"/>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Sep</w:t>
            </w:r>
          </w:p>
        </w:tc>
        <w:tc>
          <w:tcPr>
            <w:tcW w:w="500" w:type="dxa"/>
            <w:tcBorders>
              <w:top w:val="nil"/>
              <w:left w:val="nil"/>
              <w:bottom w:val="single" w:sz="4" w:space="0" w:color="000000"/>
              <w:right w:val="single" w:sz="4" w:space="0" w:color="000000"/>
            </w:tcBorders>
            <w:shd w:val="clear" w:color="auto" w:fill="1F497D" w:themeFill="text2"/>
            <w:vAlign w:val="center"/>
            <w:hideMark/>
          </w:tcPr>
          <w:p w:rsidR="003903E5" w:rsidRPr="003903E5" w:rsidRDefault="003903E5" w:rsidP="0002323C">
            <w:pPr>
              <w:pStyle w:val="TableHeader"/>
              <w:rPr>
                <w:rFonts w:eastAsia="Times New Roman"/>
                <w:sz w:val="16"/>
                <w:szCs w:val="16"/>
              </w:rPr>
            </w:pPr>
            <w:r w:rsidRPr="003903E5">
              <w:rPr>
                <w:rFonts w:eastAsia="Times New Roman"/>
                <w:sz w:val="16"/>
                <w:szCs w:val="16"/>
              </w:rPr>
              <w:t>Oct</w:t>
            </w:r>
          </w:p>
        </w:tc>
      </w:tr>
      <w:tr w:rsidR="003903E5" w:rsidRPr="003903E5" w:rsidTr="0002323C">
        <w:trPr>
          <w:trHeight w:val="300"/>
          <w:jc w:val="center"/>
        </w:trPr>
        <w:tc>
          <w:tcPr>
            <w:tcW w:w="960"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PG&amp;E</w:t>
            </w:r>
          </w:p>
        </w:tc>
        <w:tc>
          <w:tcPr>
            <w:tcW w:w="166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Greater Bay Area</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5</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5</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5</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5</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5</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5</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5</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6</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6</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6</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6</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6</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6</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6</w:t>
            </w:r>
          </w:p>
        </w:tc>
      </w:tr>
      <w:tr w:rsidR="003903E5" w:rsidRPr="003903E5" w:rsidTr="0002323C">
        <w:trPr>
          <w:trHeight w:val="300"/>
          <w:jc w:val="center"/>
        </w:trPr>
        <w:tc>
          <w:tcPr>
            <w:tcW w:w="960" w:type="dxa"/>
            <w:vMerge/>
            <w:tcBorders>
              <w:top w:val="nil"/>
              <w:left w:val="single" w:sz="4" w:space="0" w:color="000000"/>
              <w:bottom w:val="single" w:sz="4" w:space="0" w:color="000000"/>
              <w:right w:val="single" w:sz="4" w:space="0" w:color="000000"/>
            </w:tcBorders>
            <w:vAlign w:val="center"/>
            <w:hideMark/>
          </w:tcPr>
          <w:p w:rsidR="003903E5" w:rsidRPr="003903E5" w:rsidRDefault="003903E5" w:rsidP="0002323C">
            <w:pPr>
              <w:pStyle w:val="TableText"/>
              <w:rPr>
                <w:rFonts w:eastAsia="Times New Roman"/>
              </w:rPr>
            </w:pPr>
          </w:p>
        </w:tc>
        <w:tc>
          <w:tcPr>
            <w:tcW w:w="166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Greater Fresno</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r>
      <w:tr w:rsidR="003903E5" w:rsidRPr="003903E5" w:rsidTr="0002323C">
        <w:trPr>
          <w:trHeight w:val="300"/>
          <w:jc w:val="center"/>
        </w:trPr>
        <w:tc>
          <w:tcPr>
            <w:tcW w:w="960" w:type="dxa"/>
            <w:vMerge/>
            <w:tcBorders>
              <w:top w:val="nil"/>
              <w:left w:val="single" w:sz="4" w:space="0" w:color="000000"/>
              <w:bottom w:val="single" w:sz="4" w:space="0" w:color="000000"/>
              <w:right w:val="single" w:sz="4" w:space="0" w:color="000000"/>
            </w:tcBorders>
            <w:vAlign w:val="center"/>
            <w:hideMark/>
          </w:tcPr>
          <w:p w:rsidR="003903E5" w:rsidRPr="003903E5" w:rsidRDefault="003903E5" w:rsidP="0002323C">
            <w:pPr>
              <w:pStyle w:val="TableText"/>
              <w:rPr>
                <w:rFonts w:eastAsia="Times New Roman"/>
              </w:rPr>
            </w:pPr>
          </w:p>
        </w:tc>
        <w:tc>
          <w:tcPr>
            <w:tcW w:w="166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Humboldt</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r>
      <w:tr w:rsidR="003903E5" w:rsidRPr="003903E5" w:rsidTr="0002323C">
        <w:trPr>
          <w:trHeight w:val="300"/>
          <w:jc w:val="center"/>
        </w:trPr>
        <w:tc>
          <w:tcPr>
            <w:tcW w:w="960" w:type="dxa"/>
            <w:vMerge/>
            <w:tcBorders>
              <w:top w:val="nil"/>
              <w:left w:val="single" w:sz="4" w:space="0" w:color="000000"/>
              <w:bottom w:val="single" w:sz="4" w:space="0" w:color="000000"/>
              <w:right w:val="single" w:sz="4" w:space="0" w:color="000000"/>
            </w:tcBorders>
            <w:vAlign w:val="center"/>
            <w:hideMark/>
          </w:tcPr>
          <w:p w:rsidR="003903E5" w:rsidRPr="003903E5" w:rsidRDefault="003903E5" w:rsidP="0002323C">
            <w:pPr>
              <w:pStyle w:val="TableText"/>
              <w:rPr>
                <w:rFonts w:eastAsia="Times New Roman"/>
              </w:rPr>
            </w:pPr>
          </w:p>
        </w:tc>
        <w:tc>
          <w:tcPr>
            <w:tcW w:w="166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Kern</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r>
      <w:tr w:rsidR="003903E5" w:rsidRPr="003903E5" w:rsidTr="0002323C">
        <w:trPr>
          <w:trHeight w:val="300"/>
          <w:jc w:val="center"/>
        </w:trPr>
        <w:tc>
          <w:tcPr>
            <w:tcW w:w="960" w:type="dxa"/>
            <w:vMerge/>
            <w:tcBorders>
              <w:top w:val="nil"/>
              <w:left w:val="single" w:sz="4" w:space="0" w:color="000000"/>
              <w:bottom w:val="single" w:sz="4" w:space="0" w:color="000000"/>
              <w:right w:val="single" w:sz="4" w:space="0" w:color="000000"/>
            </w:tcBorders>
            <w:vAlign w:val="center"/>
            <w:hideMark/>
          </w:tcPr>
          <w:p w:rsidR="003903E5" w:rsidRPr="003903E5" w:rsidRDefault="003903E5" w:rsidP="0002323C">
            <w:pPr>
              <w:pStyle w:val="TableText"/>
              <w:rPr>
                <w:rFonts w:eastAsia="Times New Roman"/>
              </w:rPr>
            </w:pPr>
          </w:p>
        </w:tc>
        <w:tc>
          <w:tcPr>
            <w:tcW w:w="166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Northern Coast</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r>
      <w:tr w:rsidR="003903E5" w:rsidRPr="003903E5" w:rsidTr="0002323C">
        <w:trPr>
          <w:trHeight w:val="300"/>
          <w:jc w:val="center"/>
        </w:trPr>
        <w:tc>
          <w:tcPr>
            <w:tcW w:w="960" w:type="dxa"/>
            <w:vMerge/>
            <w:tcBorders>
              <w:top w:val="nil"/>
              <w:left w:val="single" w:sz="4" w:space="0" w:color="000000"/>
              <w:bottom w:val="single" w:sz="4" w:space="0" w:color="000000"/>
              <w:right w:val="single" w:sz="4" w:space="0" w:color="000000"/>
            </w:tcBorders>
            <w:vAlign w:val="center"/>
            <w:hideMark/>
          </w:tcPr>
          <w:p w:rsidR="003903E5" w:rsidRPr="003903E5" w:rsidRDefault="003903E5" w:rsidP="0002323C">
            <w:pPr>
              <w:pStyle w:val="TableText"/>
              <w:rPr>
                <w:rFonts w:eastAsia="Times New Roman"/>
              </w:rPr>
            </w:pPr>
          </w:p>
        </w:tc>
        <w:tc>
          <w:tcPr>
            <w:tcW w:w="166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Other</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4</w:t>
            </w:r>
          </w:p>
        </w:tc>
      </w:tr>
      <w:tr w:rsidR="003903E5" w:rsidRPr="003903E5" w:rsidTr="0002323C">
        <w:trPr>
          <w:trHeight w:val="300"/>
          <w:jc w:val="center"/>
        </w:trPr>
        <w:tc>
          <w:tcPr>
            <w:tcW w:w="960" w:type="dxa"/>
            <w:vMerge/>
            <w:tcBorders>
              <w:top w:val="nil"/>
              <w:left w:val="single" w:sz="4" w:space="0" w:color="000000"/>
              <w:bottom w:val="single" w:sz="4" w:space="0" w:color="000000"/>
              <w:right w:val="single" w:sz="4" w:space="0" w:color="000000"/>
            </w:tcBorders>
            <w:vAlign w:val="center"/>
            <w:hideMark/>
          </w:tcPr>
          <w:p w:rsidR="003903E5" w:rsidRPr="003903E5" w:rsidRDefault="003903E5" w:rsidP="0002323C">
            <w:pPr>
              <w:pStyle w:val="TableText"/>
              <w:rPr>
                <w:rFonts w:eastAsia="Times New Roman"/>
              </w:rPr>
            </w:pPr>
          </w:p>
        </w:tc>
        <w:tc>
          <w:tcPr>
            <w:tcW w:w="166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Sierra</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r>
      <w:tr w:rsidR="003903E5" w:rsidRPr="003903E5" w:rsidTr="0002323C">
        <w:trPr>
          <w:trHeight w:val="300"/>
          <w:jc w:val="center"/>
        </w:trPr>
        <w:tc>
          <w:tcPr>
            <w:tcW w:w="960" w:type="dxa"/>
            <w:vMerge/>
            <w:tcBorders>
              <w:top w:val="nil"/>
              <w:left w:val="single" w:sz="4" w:space="0" w:color="000000"/>
              <w:bottom w:val="single" w:sz="4" w:space="0" w:color="000000"/>
              <w:right w:val="single" w:sz="4" w:space="0" w:color="000000"/>
            </w:tcBorders>
            <w:vAlign w:val="center"/>
            <w:hideMark/>
          </w:tcPr>
          <w:p w:rsidR="003903E5" w:rsidRPr="003903E5" w:rsidRDefault="003903E5" w:rsidP="0002323C">
            <w:pPr>
              <w:pStyle w:val="TableText"/>
              <w:rPr>
                <w:rFonts w:eastAsia="Times New Roman"/>
              </w:rPr>
            </w:pPr>
          </w:p>
        </w:tc>
        <w:tc>
          <w:tcPr>
            <w:tcW w:w="166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Stockton</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r>
      <w:tr w:rsidR="003903E5" w:rsidRPr="003903E5" w:rsidTr="0002323C">
        <w:trPr>
          <w:trHeight w:val="300"/>
          <w:jc w:val="center"/>
        </w:trPr>
        <w:tc>
          <w:tcPr>
            <w:tcW w:w="960" w:type="dxa"/>
            <w:vMerge/>
            <w:tcBorders>
              <w:top w:val="nil"/>
              <w:left w:val="single" w:sz="4" w:space="0" w:color="000000"/>
              <w:bottom w:val="single" w:sz="4" w:space="0" w:color="000000"/>
              <w:right w:val="single" w:sz="4" w:space="0" w:color="000000"/>
            </w:tcBorders>
            <w:vAlign w:val="center"/>
            <w:hideMark/>
          </w:tcPr>
          <w:p w:rsidR="003903E5" w:rsidRPr="003903E5" w:rsidRDefault="003903E5" w:rsidP="0002323C">
            <w:pPr>
              <w:pStyle w:val="TableText"/>
              <w:rPr>
                <w:rFonts w:eastAsia="Times New Roman"/>
              </w:rPr>
            </w:pPr>
          </w:p>
        </w:tc>
        <w:tc>
          <w:tcPr>
            <w:tcW w:w="166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Total (PG&amp;E)</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12</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12</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12</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16</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16</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16</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16</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16</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16</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17</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17</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17</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17</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17</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17</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17</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17</w:t>
            </w:r>
          </w:p>
        </w:tc>
      </w:tr>
      <w:tr w:rsidR="003903E5" w:rsidRPr="003903E5" w:rsidTr="0002323C">
        <w:trPr>
          <w:trHeight w:val="300"/>
          <w:jc w:val="center"/>
        </w:trPr>
        <w:tc>
          <w:tcPr>
            <w:tcW w:w="960"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SCE</w:t>
            </w:r>
          </w:p>
        </w:tc>
        <w:tc>
          <w:tcPr>
            <w:tcW w:w="166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LA Basin</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5</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7</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7</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9</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9</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9</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11</w:t>
            </w:r>
          </w:p>
        </w:tc>
      </w:tr>
      <w:tr w:rsidR="003903E5" w:rsidRPr="003903E5" w:rsidTr="0002323C">
        <w:trPr>
          <w:trHeight w:val="300"/>
          <w:jc w:val="center"/>
        </w:trPr>
        <w:tc>
          <w:tcPr>
            <w:tcW w:w="960" w:type="dxa"/>
            <w:vMerge/>
            <w:tcBorders>
              <w:top w:val="nil"/>
              <w:left w:val="single" w:sz="4" w:space="0" w:color="000000"/>
              <w:bottom w:val="single" w:sz="4" w:space="0" w:color="000000"/>
              <w:right w:val="single" w:sz="4" w:space="0" w:color="000000"/>
            </w:tcBorders>
            <w:vAlign w:val="center"/>
            <w:hideMark/>
          </w:tcPr>
          <w:p w:rsidR="003903E5" w:rsidRPr="003903E5" w:rsidRDefault="003903E5" w:rsidP="0002323C">
            <w:pPr>
              <w:pStyle w:val="TableText"/>
              <w:rPr>
                <w:rFonts w:eastAsia="Times New Roman"/>
              </w:rPr>
            </w:pPr>
          </w:p>
        </w:tc>
        <w:tc>
          <w:tcPr>
            <w:tcW w:w="166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Outside LA Basin</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0.2</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0.2</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0.2</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0.2</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0.4</w:t>
            </w:r>
          </w:p>
        </w:tc>
      </w:tr>
      <w:tr w:rsidR="003903E5" w:rsidRPr="003903E5" w:rsidTr="0002323C">
        <w:trPr>
          <w:trHeight w:val="300"/>
          <w:jc w:val="center"/>
        </w:trPr>
        <w:tc>
          <w:tcPr>
            <w:tcW w:w="960" w:type="dxa"/>
            <w:vMerge/>
            <w:tcBorders>
              <w:top w:val="nil"/>
              <w:left w:val="single" w:sz="4" w:space="0" w:color="000000"/>
              <w:bottom w:val="single" w:sz="4" w:space="0" w:color="000000"/>
              <w:right w:val="single" w:sz="4" w:space="0" w:color="000000"/>
            </w:tcBorders>
            <w:vAlign w:val="center"/>
            <w:hideMark/>
          </w:tcPr>
          <w:p w:rsidR="003903E5" w:rsidRPr="003903E5" w:rsidRDefault="003903E5" w:rsidP="0002323C">
            <w:pPr>
              <w:pStyle w:val="TableText"/>
              <w:rPr>
                <w:rFonts w:eastAsia="Times New Roman"/>
              </w:rPr>
            </w:pPr>
          </w:p>
        </w:tc>
        <w:tc>
          <w:tcPr>
            <w:tcW w:w="166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Ventura</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r>
      <w:tr w:rsidR="003903E5" w:rsidRPr="003903E5" w:rsidTr="0002323C">
        <w:trPr>
          <w:trHeight w:val="300"/>
          <w:jc w:val="center"/>
        </w:trPr>
        <w:tc>
          <w:tcPr>
            <w:tcW w:w="960" w:type="dxa"/>
            <w:vMerge/>
            <w:tcBorders>
              <w:top w:val="nil"/>
              <w:left w:val="single" w:sz="4" w:space="0" w:color="000000"/>
              <w:bottom w:val="single" w:sz="4" w:space="0" w:color="000000"/>
              <w:right w:val="single" w:sz="4" w:space="0" w:color="000000"/>
            </w:tcBorders>
            <w:vAlign w:val="center"/>
            <w:hideMark/>
          </w:tcPr>
          <w:p w:rsidR="003903E5" w:rsidRPr="003903E5" w:rsidRDefault="003903E5" w:rsidP="0002323C">
            <w:pPr>
              <w:pStyle w:val="TableText"/>
              <w:rPr>
                <w:rFonts w:eastAsia="Times New Roman"/>
              </w:rPr>
            </w:pPr>
          </w:p>
        </w:tc>
        <w:tc>
          <w:tcPr>
            <w:tcW w:w="166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Total (SCE)</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5</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7</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7</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9</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9</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12</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i/>
                <w:iCs/>
              </w:rPr>
            </w:pPr>
            <w:r w:rsidRPr="003903E5">
              <w:rPr>
                <w:rFonts w:eastAsia="Times New Roman"/>
                <w:i/>
                <w:iCs/>
              </w:rPr>
              <w:t>13</w:t>
            </w:r>
          </w:p>
        </w:tc>
      </w:tr>
      <w:tr w:rsidR="003903E5" w:rsidRPr="003903E5" w:rsidTr="0002323C">
        <w:trPr>
          <w:trHeight w:val="300"/>
          <w:jc w:val="center"/>
        </w:trPr>
        <w:tc>
          <w:tcPr>
            <w:tcW w:w="262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SDG&amp;E</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rPr>
            </w:pPr>
            <w:r w:rsidRPr="003903E5">
              <w:rPr>
                <w:rFonts w:eastAsia="Times New Roman"/>
              </w:rPr>
              <w:t>3</w:t>
            </w:r>
          </w:p>
        </w:tc>
      </w:tr>
      <w:tr w:rsidR="003903E5" w:rsidRPr="003903E5" w:rsidTr="0002323C">
        <w:trPr>
          <w:trHeight w:val="300"/>
          <w:jc w:val="center"/>
        </w:trPr>
        <w:tc>
          <w:tcPr>
            <w:tcW w:w="262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Total (Statewide)</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14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14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14</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15</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19</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21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22</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28</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28</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29</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29</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30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30</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31</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32</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32</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32</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32</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32</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32</w:t>
            </w:r>
          </w:p>
        </w:tc>
        <w:tc>
          <w:tcPr>
            <w:tcW w:w="500" w:type="dxa"/>
            <w:tcBorders>
              <w:top w:val="nil"/>
              <w:left w:val="nil"/>
              <w:bottom w:val="single" w:sz="4" w:space="0" w:color="000000"/>
              <w:right w:val="single" w:sz="4" w:space="0" w:color="000000"/>
            </w:tcBorders>
            <w:shd w:val="clear" w:color="auto" w:fill="auto"/>
            <w:noWrap/>
            <w:vAlign w:val="center"/>
            <w:hideMark/>
          </w:tcPr>
          <w:p w:rsidR="003903E5" w:rsidRPr="003903E5" w:rsidRDefault="003903E5" w:rsidP="0002323C">
            <w:pPr>
              <w:pStyle w:val="TableText"/>
              <w:rPr>
                <w:rFonts w:eastAsia="Times New Roman"/>
                <w:b/>
                <w:bCs/>
              </w:rPr>
            </w:pPr>
            <w:r w:rsidRPr="003903E5">
              <w:rPr>
                <w:rFonts w:eastAsia="Times New Roman"/>
                <w:b/>
                <w:bCs/>
              </w:rPr>
              <w:t>32</w:t>
            </w:r>
          </w:p>
        </w:tc>
      </w:tr>
    </w:tbl>
    <w:p w:rsidR="002F663B" w:rsidRDefault="002F663B" w:rsidP="00825E80">
      <w:pPr>
        <w:pStyle w:val="BodyParaAfterTableFigure"/>
      </w:pPr>
    </w:p>
    <w:p w:rsidR="002F663B" w:rsidRDefault="002F663B" w:rsidP="00825E80">
      <w:pPr>
        <w:pStyle w:val="BodyParagraph"/>
      </w:pPr>
    </w:p>
    <w:p w:rsidR="002F663B" w:rsidRPr="002F663B" w:rsidRDefault="002F663B" w:rsidP="00825E80">
      <w:pPr>
        <w:pStyle w:val="BodyParagraph"/>
      </w:pPr>
    </w:p>
    <w:p w:rsidR="002F663B" w:rsidRDefault="002F663B">
      <w:pPr>
        <w:sectPr w:rsidR="002F663B" w:rsidSect="00825E80">
          <w:pgSz w:w="15840" w:h="12240" w:orient="landscape"/>
          <w:pgMar w:top="1440" w:right="1440" w:bottom="1440" w:left="1440" w:header="720" w:footer="720" w:gutter="0"/>
          <w:cols w:space="720"/>
          <w:docGrid w:linePitch="360"/>
        </w:sectPr>
      </w:pPr>
    </w:p>
    <w:p w:rsidR="00107A41" w:rsidRDefault="00107A41">
      <w:pPr>
        <w:pStyle w:val="Heading1"/>
      </w:pPr>
      <w:bookmarkStart w:id="16" w:name="_Toc382926512"/>
      <w:r>
        <w:lastRenderedPageBreak/>
        <w:t>Ex Ante Impact Estimates</w:t>
      </w:r>
      <w:bookmarkEnd w:id="16"/>
    </w:p>
    <w:p w:rsidR="001F03FC" w:rsidRDefault="001F03FC" w:rsidP="001F03FC">
      <w:pPr>
        <w:pStyle w:val="BodyParagraph"/>
      </w:pPr>
      <w:r w:rsidRPr="00EB1041">
        <w:t xml:space="preserve">This section </w:t>
      </w:r>
      <w:r>
        <w:t xml:space="preserve">provides the </w:t>
      </w:r>
      <w:proofErr w:type="spellStart"/>
      <w:r>
        <w:t>ex ante</w:t>
      </w:r>
      <w:proofErr w:type="spellEnd"/>
      <w:r>
        <w:t xml:space="preserve"> impact estimates for peak </w:t>
      </w:r>
      <w:r w:rsidR="005E08AE">
        <w:t>period (1</w:t>
      </w:r>
      <w:r w:rsidR="00A557DC">
        <w:t>–</w:t>
      </w:r>
      <w:r w:rsidR="005E08AE">
        <w:t>6 PM)</w:t>
      </w:r>
      <w:r>
        <w:t xml:space="preserve"> conditions from April through October.  </w:t>
      </w:r>
      <w:r w:rsidR="00525279" w:rsidRPr="00525279">
        <w:t xml:space="preserve">Estimates for average weekdays can be found in the Excel load impact tables that </w:t>
      </w:r>
      <w:r w:rsidR="00525279">
        <w:t>are</w:t>
      </w:r>
      <w:r w:rsidR="00A557DC">
        <w:t> </w:t>
      </w:r>
      <w:r w:rsidR="00525279">
        <w:t>available upon request</w:t>
      </w:r>
      <w:r w:rsidR="00525279" w:rsidRPr="00525279">
        <w:t>.</w:t>
      </w:r>
      <w:r w:rsidR="00525279">
        <w:rPr>
          <w:rStyle w:val="FootnoteReference"/>
        </w:rPr>
        <w:footnoteReference w:id="13"/>
      </w:r>
      <w:r w:rsidR="00525279">
        <w:t xml:space="preserve">  </w:t>
      </w:r>
      <w:r w:rsidR="005E08AE">
        <w:t xml:space="preserve">The results are provided separately for each utility.  A comparison to last year’s ex ante forecast is also provided for each utility.  </w:t>
      </w:r>
      <w:r>
        <w:t xml:space="preserve">The forecast </w:t>
      </w:r>
      <w:r w:rsidR="005E08AE">
        <w:t>runs</w:t>
      </w:r>
      <w:r>
        <w:t xml:space="preserve"> from April 2015 through October 2024.  </w:t>
      </w:r>
      <w:r w:rsidR="00C27612">
        <w:t>Based on the most recent available</w:t>
      </w:r>
      <w:r w:rsidR="005E08AE">
        <w:t xml:space="preserve"> PLS program application</w:t>
      </w:r>
      <w:r w:rsidR="00C27612">
        <w:t xml:space="preserve"> information, the forecast currently shows zero impacts in 2014.  </w:t>
      </w:r>
      <w:r>
        <w:t>While two of PG&amp;E’s</w:t>
      </w:r>
      <w:r w:rsidRPr="001F03FC">
        <w:t xml:space="preserve"> small identified projects may </w:t>
      </w:r>
      <w:r>
        <w:t>come online in the third quarter of 2014,</w:t>
      </w:r>
      <w:r w:rsidRPr="001F03FC">
        <w:t xml:space="preserve"> given that project delays are possible, these </w:t>
      </w:r>
      <w:r>
        <w:t>impacts have been shifted into 2015.</w:t>
      </w:r>
      <w:r w:rsidRPr="001F03FC">
        <w:t xml:space="preserve">  If</w:t>
      </w:r>
      <w:r w:rsidR="00A557DC">
        <w:t> </w:t>
      </w:r>
      <w:r w:rsidRPr="001F03FC">
        <w:t xml:space="preserve">these two </w:t>
      </w:r>
      <w:r w:rsidR="00C27612">
        <w:t xml:space="preserve">small </w:t>
      </w:r>
      <w:r w:rsidRPr="001F03FC">
        <w:t>pr</w:t>
      </w:r>
      <w:r w:rsidR="00702BF5">
        <w:t>ojects come online in 2014, PG&amp;E would show small impacts in 2014</w:t>
      </w:r>
      <w:r w:rsidRPr="001F03FC">
        <w:t>, but th</w:t>
      </w:r>
      <w:r>
        <w:t xml:space="preserve">e remainder of the forecast </w:t>
      </w:r>
      <w:r w:rsidR="005E08AE">
        <w:t xml:space="preserve">would </w:t>
      </w:r>
      <w:r>
        <w:t>remain the same.</w:t>
      </w:r>
    </w:p>
    <w:p w:rsidR="001F03FC" w:rsidRDefault="005E08AE" w:rsidP="001F03FC">
      <w:pPr>
        <w:pStyle w:val="BodyParagraph"/>
      </w:pPr>
      <w:r>
        <w:t>L</w:t>
      </w:r>
      <w:r w:rsidR="001F03FC">
        <w:t xml:space="preserve">oad impacts during the months </w:t>
      </w:r>
      <w:r>
        <w:t>of November</w:t>
      </w:r>
      <w:r w:rsidR="00702BF5">
        <w:t xml:space="preserve"> </w:t>
      </w:r>
      <w:r>
        <w:t xml:space="preserve">through </w:t>
      </w:r>
      <w:r w:rsidR="001F03FC">
        <w:t xml:space="preserve">March are expected to be zero or nearly zero due to </w:t>
      </w:r>
      <w:r>
        <w:t xml:space="preserve">a </w:t>
      </w:r>
      <w:r w:rsidR="001F03FC">
        <w:t>lack of significant cooling load in most areas</w:t>
      </w:r>
      <w:r>
        <w:t xml:space="preserve"> during those months.  In addition, </w:t>
      </w:r>
      <w:r w:rsidR="001F03FC">
        <w:t>because customers will not be required to run their systems during those months</w:t>
      </w:r>
      <w:r>
        <w:t>, it is best to assume that the impacts are zero, until further information becomes available</w:t>
      </w:r>
      <w:r w:rsidR="001F03FC">
        <w:t>.  Therefore</w:t>
      </w:r>
      <w:r>
        <w:t>,</w:t>
      </w:r>
      <w:r w:rsidR="001F03FC">
        <w:t xml:space="preserve"> estimates have not been developed for those months.  In the future, </w:t>
      </w:r>
      <w:r>
        <w:t xml:space="preserve">if </w:t>
      </w:r>
      <w:r w:rsidR="001F03FC">
        <w:t>installations occur in areas where there is significant winter cooling load and</w:t>
      </w:r>
      <w:r w:rsidR="00A557DC">
        <w:t> </w:t>
      </w:r>
      <w:r w:rsidR="001F03FC">
        <w:t>if</w:t>
      </w:r>
      <w:r w:rsidR="00A557DC">
        <w:t> </w:t>
      </w:r>
      <w:r w:rsidR="001F03FC">
        <w:t>customers appear to be shifting during those times, it may make sense to estimate impacts for</w:t>
      </w:r>
      <w:r w:rsidR="00A557DC">
        <w:t> </w:t>
      </w:r>
      <w:r w:rsidR="001F03FC">
        <w:t>those months.</w:t>
      </w:r>
    </w:p>
    <w:p w:rsidR="005E08AE" w:rsidRDefault="00702BF5" w:rsidP="001F03FC">
      <w:pPr>
        <w:pStyle w:val="BodyParagraph"/>
      </w:pPr>
      <w:r>
        <w:t xml:space="preserve">Similarly, </w:t>
      </w:r>
      <w:r w:rsidR="005E08AE">
        <w:t xml:space="preserve">customers </w:t>
      </w:r>
      <w:r>
        <w:t xml:space="preserve">technically </w:t>
      </w:r>
      <w:r w:rsidR="005E08AE">
        <w:t>do not have to run their systems during April, and SCE customers do not have to run their systems during May or October (</w:t>
      </w:r>
      <w:r>
        <w:t xml:space="preserve">see </w:t>
      </w:r>
      <w:r w:rsidRPr="0002323C">
        <w:t>Table 1-1</w:t>
      </w:r>
      <w:r>
        <w:t>).  Regardless,</w:t>
      </w:r>
      <w:r w:rsidR="005E08AE">
        <w:t xml:space="preserve"> customers may choose to simply run their systems when </w:t>
      </w:r>
      <w:r>
        <w:t xml:space="preserve">the </w:t>
      </w:r>
      <w:r w:rsidR="005E08AE">
        <w:t xml:space="preserve">cooling </w:t>
      </w:r>
      <w:r>
        <w:t>season begins</w:t>
      </w:r>
      <w:r w:rsidR="005E08AE">
        <w:t xml:space="preserve">.  It is uncertain whether that pattern will develop, and it depends on how </w:t>
      </w:r>
      <w:r>
        <w:t xml:space="preserve">easy and financially </w:t>
      </w:r>
      <w:r w:rsidR="005E08AE">
        <w:t xml:space="preserve">advantageous </w:t>
      </w:r>
      <w:r>
        <w:t xml:space="preserve">it is for </w:t>
      </w:r>
      <w:r w:rsidR="005E08AE">
        <w:t xml:space="preserve">customers to run their systems </w:t>
      </w:r>
      <w:r>
        <w:t>when they are not required to</w:t>
      </w:r>
      <w:r w:rsidR="005E08AE">
        <w:t>.  For that reason, April impacts</w:t>
      </w:r>
      <w:r>
        <w:t xml:space="preserve"> for all three utilities</w:t>
      </w:r>
      <w:r w:rsidR="005E08AE">
        <w:t xml:space="preserve"> and May and</w:t>
      </w:r>
      <w:r w:rsidR="00A557DC">
        <w:t> </w:t>
      </w:r>
      <w:r w:rsidR="005E08AE">
        <w:t>October impacts for SCE include more uncertainty than the others.</w:t>
      </w:r>
    </w:p>
    <w:p w:rsidR="00702BF5" w:rsidRDefault="001411FB" w:rsidP="001F03FC">
      <w:pPr>
        <w:pStyle w:val="BodyParagraph"/>
      </w:pPr>
      <w:r>
        <w:t xml:space="preserve">It is also important to note </w:t>
      </w:r>
      <w:r w:rsidR="00702BF5">
        <w:t>that these impacts represent load that is shifted, not eliminated.  The evaluation assumes that all avoided peak period load, plus an additional 5%, is consumed during the hours of 9 PM – 6 AM.  PLS systems are required to use no more than 5% additional energy than the baseline system.  Because not all cooling load comes during the peak period and we have only added 5% to the shifted peak period load, our assumption implies that the 5% limit will be binding for many, but not all sites.</w:t>
      </w:r>
    </w:p>
    <w:p w:rsidR="001411FB" w:rsidRDefault="001411FB" w:rsidP="001F03FC">
      <w:pPr>
        <w:pStyle w:val="BodyParagraph"/>
      </w:pPr>
      <w:r>
        <w:t>Finally, each installation is expected to last a minimum of five years, after which we have assumed a degradation in load impacts of about 2.5% per year, which corresponds to an expected life of about 20 years for each installation.</w:t>
      </w:r>
      <w:r>
        <w:rPr>
          <w:rStyle w:val="FootnoteReference"/>
        </w:rPr>
        <w:footnoteReference w:id="14"/>
      </w:r>
      <w:r>
        <w:t xml:space="preserve">  We have assumed the same degradation factor for each month within a given year so that the percentage difference measured May over May would be identical to the difference measured June over June and so forth.  The degradation factor is a major simplification of what will likely become a complex issue if the program continues over the next decade.  Similar to the </w:t>
      </w:r>
      <w:r>
        <w:lastRenderedPageBreak/>
        <w:t>issue of projecting PLS enrollment, this is primarily an empirical question that is unlikely to be determined accurately in advance.  PLS</w:t>
      </w:r>
      <w:r w:rsidR="00E97668">
        <w:t>-TES</w:t>
      </w:r>
      <w:r>
        <w:t xml:space="preserve"> systems are too complex and their continued function is based on too many variables for a theoretical analysis to have any serious hope of accuracy.  Therefore, we have chosen a simple set of values for degradation that dovetail with the assumptions that utility staff consider reasonable; and we recognize the significant uncertainty associated with these projections.</w:t>
      </w:r>
    </w:p>
    <w:p w:rsidR="00141481" w:rsidRDefault="00141481" w:rsidP="00141481">
      <w:pPr>
        <w:pStyle w:val="Heading2"/>
      </w:pPr>
      <w:bookmarkStart w:id="17" w:name="_Toc382926513"/>
      <w:r>
        <w:t>PG&amp;E Results</w:t>
      </w:r>
      <w:bookmarkEnd w:id="17"/>
    </w:p>
    <w:p w:rsidR="003A132A" w:rsidRDefault="00B30F21" w:rsidP="00825E80">
      <w:pPr>
        <w:pStyle w:val="BodyParagraph"/>
      </w:pPr>
      <w:r>
        <w:t xml:space="preserve">Table </w:t>
      </w:r>
      <w:r w:rsidR="006E1DD2">
        <w:t>4</w:t>
      </w:r>
      <w:r>
        <w:t>-1 provides the</w:t>
      </w:r>
      <w:r w:rsidR="005E08AE">
        <w:t xml:space="preserve"> </w:t>
      </w:r>
      <w:proofErr w:type="spellStart"/>
      <w:r>
        <w:t>e</w:t>
      </w:r>
      <w:r w:rsidRPr="00B30F21">
        <w:t xml:space="preserve">x </w:t>
      </w:r>
      <w:r>
        <w:t>a</w:t>
      </w:r>
      <w:r w:rsidRPr="00B30F21">
        <w:t>nte</w:t>
      </w:r>
      <w:proofErr w:type="spellEnd"/>
      <w:r w:rsidRPr="00B30F21">
        <w:t xml:space="preserve"> </w:t>
      </w:r>
      <w:r>
        <w:t>l</w:t>
      </w:r>
      <w:r w:rsidRPr="00B30F21">
        <w:t xml:space="preserve">oad </w:t>
      </w:r>
      <w:r>
        <w:t>i</w:t>
      </w:r>
      <w:r w:rsidRPr="00B30F21">
        <w:t xml:space="preserve">mpact </w:t>
      </w:r>
      <w:r>
        <w:t>e</w:t>
      </w:r>
      <w:r w:rsidRPr="00B30F21">
        <w:t xml:space="preserve">stimates </w:t>
      </w:r>
      <w:r>
        <w:t>for</w:t>
      </w:r>
      <w:r w:rsidRPr="00B30F21">
        <w:t xml:space="preserve"> </w:t>
      </w:r>
      <w:r>
        <w:t>m</w:t>
      </w:r>
      <w:r w:rsidRPr="00B30F21">
        <w:t xml:space="preserve">onthly </w:t>
      </w:r>
      <w:r>
        <w:t xml:space="preserve">system peak days in </w:t>
      </w:r>
      <w:r w:rsidRPr="00B30F21">
        <w:t>April</w:t>
      </w:r>
      <w:r>
        <w:t xml:space="preserve"> through </w:t>
      </w:r>
      <w:r w:rsidRPr="00B30F21">
        <w:t>October</w:t>
      </w:r>
      <w:r>
        <w:t xml:space="preserve"> of</w:t>
      </w:r>
      <w:r w:rsidRPr="00B30F21">
        <w:t xml:space="preserve"> 2015</w:t>
      </w:r>
      <w:r>
        <w:t>, under 1-in-2 and 1-in-10 weather conditions</w:t>
      </w:r>
      <w:r w:rsidR="0084211B">
        <w:t xml:space="preserve"> for</w:t>
      </w:r>
      <w:r>
        <w:t xml:space="preserve"> the base scenario.  </w:t>
      </w:r>
      <w:r w:rsidR="006E1DD2">
        <w:t>Table 4</w:t>
      </w:r>
      <w:r>
        <w:t>-2 provides the same results for 2016.  While many of PG&amp;E’s</w:t>
      </w:r>
      <w:r w:rsidR="00825E80">
        <w:t xml:space="preserve"> small</w:t>
      </w:r>
      <w:r>
        <w:t xml:space="preserve"> unidentified projects are forecasted to come online in 2015, the large unidentified projects </w:t>
      </w:r>
      <w:r w:rsidR="0084211B">
        <w:t>are not forecasted to</w:t>
      </w:r>
      <w:r>
        <w:t xml:space="preserve"> come online until 2016.  As such, the aggregate load reduction is expected to grow from around 1.5 MW in August of 2015 to over 5 MW in</w:t>
      </w:r>
      <w:r w:rsidR="00F7270F">
        <w:t> </w:t>
      </w:r>
      <w:r>
        <w:t>August 2016.  Throughout 2016, the Greater Bay Area LCA accounts for the largest share of load impacts, ranging from 38% of the total in April to over 50% of the total in July.</w:t>
      </w:r>
      <w:r w:rsidR="00691A22">
        <w:t xml:space="preserve">  It is important to note that the Greater Bay Area includes many hot areas with large commercial and industrial facilities, including Silicon </w:t>
      </w:r>
      <w:r w:rsidR="00EA72EE">
        <w:t>Valley, Concord and San Ramon.</w:t>
      </w:r>
    </w:p>
    <w:p w:rsidR="00B6769A" w:rsidRPr="00EA72EE" w:rsidRDefault="00F91644" w:rsidP="00EA72EE">
      <w:pPr>
        <w:pStyle w:val="BodyParagraph"/>
        <w:sectPr w:rsidR="00B6769A" w:rsidRPr="00EA72EE">
          <w:footerReference w:type="default" r:id="rId25"/>
          <w:pgSz w:w="12240" w:h="15840"/>
          <w:pgMar w:top="1440" w:right="1440" w:bottom="1440" w:left="1440" w:header="720" w:footer="720" w:gutter="0"/>
          <w:cols w:space="720"/>
          <w:docGrid w:linePitch="360"/>
        </w:sectPr>
      </w:pPr>
      <w:r w:rsidRPr="00F91644">
        <w:t xml:space="preserve">In some cases, the </w:t>
      </w:r>
      <w:proofErr w:type="spellStart"/>
      <w:r w:rsidRPr="00F91644">
        <w:t>ex ante</w:t>
      </w:r>
      <w:proofErr w:type="spellEnd"/>
      <w:r w:rsidRPr="00F91644">
        <w:t xml:space="preserve"> conversio</w:t>
      </w:r>
      <w:bookmarkStart w:id="18" w:name="_GoBack"/>
      <w:bookmarkEnd w:id="18"/>
      <w:r w:rsidRPr="00F91644">
        <w:t xml:space="preserve">n factors lead to minor anomalies in the results, such as the </w:t>
      </w:r>
      <w:r w:rsidR="00F7270F">
        <w:br/>
      </w:r>
      <w:r w:rsidRPr="00F91644">
        <w:t>1-in-10 estimates being up to 1 MW lower than the 1-in-2 estimates.  To be consistent with last year’s methodology, the same conversion factors are used in this year’s analysis.  Considering that these conversion factors will be phased out in favor of ex post data analysis once actual PLS program installations come online, these minor anomalies will be mitigated in</w:t>
      </w:r>
      <w:r>
        <w:t xml:space="preserve"> future evaluations. </w:t>
      </w:r>
      <w:r w:rsidRPr="00F91644">
        <w:t xml:space="preserve"> </w:t>
      </w:r>
      <w:r>
        <w:t>T</w:t>
      </w:r>
      <w:r w:rsidRPr="00F91644">
        <w:t>he only way</w:t>
      </w:r>
      <w:r w:rsidR="00F7270F">
        <w:t> </w:t>
      </w:r>
      <w:r>
        <w:t xml:space="preserve">to conclusively determine why the 1-in-10 impacts are lower in some cases </w:t>
      </w:r>
      <w:r w:rsidRPr="00F91644">
        <w:t>would be to look at the underlying code of the building simulation software that w</w:t>
      </w:r>
      <w:r>
        <w:t>as</w:t>
      </w:r>
      <w:r w:rsidRPr="00F91644">
        <w:t xml:space="preserve"> used to generate the </w:t>
      </w:r>
      <w:proofErr w:type="spellStart"/>
      <w:r w:rsidRPr="00F91644">
        <w:t>ex ante</w:t>
      </w:r>
      <w:proofErr w:type="spellEnd"/>
      <w:r w:rsidRPr="00F91644">
        <w:t xml:space="preserve"> conversion factors, which is not possible at this point.</w:t>
      </w:r>
    </w:p>
    <w:p w:rsidR="00AC38A2" w:rsidRDefault="006E1DD2" w:rsidP="00AC38A2">
      <w:pPr>
        <w:pStyle w:val="TableFigureCaption"/>
      </w:pPr>
      <w:r>
        <w:lastRenderedPageBreak/>
        <w:t>Table 4</w:t>
      </w:r>
      <w:r w:rsidR="00AC38A2" w:rsidRPr="00AB5E8C">
        <w:t>-</w:t>
      </w:r>
      <w:r>
        <w:t>1</w:t>
      </w:r>
      <w:r w:rsidR="00AC38A2" w:rsidRPr="00AB5E8C">
        <w:t xml:space="preserve">: </w:t>
      </w:r>
      <w:r w:rsidR="00EC26CC">
        <w:t xml:space="preserve">PG&amp;E </w:t>
      </w:r>
      <w:r w:rsidR="00AC38A2" w:rsidRPr="00AB5E8C">
        <w:t xml:space="preserve">Ex Ante </w:t>
      </w:r>
      <w:r w:rsidR="00B50900">
        <w:t xml:space="preserve">Load </w:t>
      </w:r>
      <w:r w:rsidR="00AC38A2" w:rsidRPr="00AB5E8C">
        <w:t xml:space="preserve">Impact Estimates </w:t>
      </w:r>
      <w:r w:rsidR="00B50900">
        <w:t>(</w:t>
      </w:r>
      <w:r w:rsidR="00AC38A2">
        <w:t>1-6 PM</w:t>
      </w:r>
      <w:r w:rsidR="00B50900">
        <w:t>)</w:t>
      </w:r>
      <w:r w:rsidR="00AC38A2">
        <w:t xml:space="preserve"> on Monthly Peak Days for </w:t>
      </w:r>
      <w:r w:rsidR="00B50900">
        <w:t>April</w:t>
      </w:r>
      <w:r w:rsidR="00AC38A2">
        <w:t>-October 2015 (kW)</w:t>
      </w:r>
      <w:r w:rsidR="00B30F21">
        <w:t xml:space="preserve"> – Base Scenario</w:t>
      </w:r>
    </w:p>
    <w:tbl>
      <w:tblPr>
        <w:tblW w:w="14000" w:type="dxa"/>
        <w:jc w:val="center"/>
        <w:tblInd w:w="93" w:type="dxa"/>
        <w:tblLook w:val="04A0" w:firstRow="1" w:lastRow="0" w:firstColumn="1" w:lastColumn="0" w:noHBand="0" w:noVBand="1"/>
      </w:tblPr>
      <w:tblGrid>
        <w:gridCol w:w="1680"/>
        <w:gridCol w:w="880"/>
        <w:gridCol w:w="880"/>
        <w:gridCol w:w="880"/>
        <w:gridCol w:w="880"/>
        <w:gridCol w:w="880"/>
        <w:gridCol w:w="880"/>
        <w:gridCol w:w="880"/>
        <w:gridCol w:w="880"/>
        <w:gridCol w:w="880"/>
        <w:gridCol w:w="880"/>
        <w:gridCol w:w="880"/>
        <w:gridCol w:w="880"/>
        <w:gridCol w:w="880"/>
        <w:gridCol w:w="880"/>
      </w:tblGrid>
      <w:tr w:rsidR="00B50900" w:rsidRPr="00B50900" w:rsidTr="00EA72EE">
        <w:trPr>
          <w:trHeight w:val="300"/>
          <w:jc w:val="center"/>
        </w:trPr>
        <w:tc>
          <w:tcPr>
            <w:tcW w:w="1680" w:type="dxa"/>
            <w:vMerge w:val="restart"/>
            <w:tcBorders>
              <w:top w:val="single" w:sz="4" w:space="0" w:color="000000"/>
              <w:left w:val="single" w:sz="4" w:space="0" w:color="000000"/>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LCA</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April</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May</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June</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July</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August</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September</w:t>
            </w:r>
          </w:p>
        </w:tc>
        <w:tc>
          <w:tcPr>
            <w:tcW w:w="1760" w:type="dxa"/>
            <w:gridSpan w:val="2"/>
            <w:tcBorders>
              <w:top w:val="single" w:sz="4" w:space="0" w:color="000000"/>
              <w:left w:val="nil"/>
              <w:bottom w:val="single" w:sz="4" w:space="0" w:color="FFFFFF"/>
              <w:right w:val="single" w:sz="4" w:space="0" w:color="000000"/>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October</w:t>
            </w:r>
          </w:p>
        </w:tc>
      </w:tr>
      <w:tr w:rsidR="00B50900" w:rsidRPr="00B50900" w:rsidTr="00EA72EE">
        <w:trPr>
          <w:trHeight w:val="300"/>
          <w:jc w:val="center"/>
        </w:trPr>
        <w:tc>
          <w:tcPr>
            <w:tcW w:w="1680" w:type="dxa"/>
            <w:vMerge/>
            <w:tcBorders>
              <w:top w:val="single" w:sz="4" w:space="0" w:color="000000"/>
              <w:left w:val="single" w:sz="4" w:space="0" w:color="000000"/>
              <w:bottom w:val="single" w:sz="4" w:space="0" w:color="000000"/>
              <w:right w:val="single" w:sz="4" w:space="0" w:color="FFFFFF"/>
            </w:tcBorders>
            <w:vAlign w:val="center"/>
            <w:hideMark/>
          </w:tcPr>
          <w:p w:rsidR="00B50900" w:rsidRPr="00B50900" w:rsidRDefault="00B50900" w:rsidP="0002323C">
            <w:pPr>
              <w:pStyle w:val="TableHeader"/>
              <w:rPr>
                <w:rFonts w:eastAsia="Times New Roman"/>
              </w:rPr>
            </w:pP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1-in-2</w:t>
            </w:r>
          </w:p>
        </w:tc>
        <w:tc>
          <w:tcPr>
            <w:tcW w:w="880" w:type="dxa"/>
            <w:tcBorders>
              <w:top w:val="nil"/>
              <w:left w:val="nil"/>
              <w:bottom w:val="single" w:sz="4" w:space="0" w:color="000000"/>
              <w:right w:val="single" w:sz="4" w:space="0" w:color="000000"/>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1-in-10</w:t>
            </w:r>
          </w:p>
        </w:tc>
      </w:tr>
      <w:tr w:rsidR="00D90487" w:rsidRPr="00B50900" w:rsidTr="00A971A9">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rsidRPr="00B50900">
              <w:rPr>
                <w:rFonts w:eastAsia="Times New Roman"/>
              </w:rPr>
              <w:t>Greater Bay Area</w:t>
            </w:r>
          </w:p>
        </w:tc>
        <w:tc>
          <w:tcPr>
            <w:tcW w:w="12320" w:type="dxa"/>
            <w:gridSpan w:val="14"/>
            <w:vMerge w:val="restart"/>
            <w:tcBorders>
              <w:top w:val="nil"/>
              <w:left w:val="nil"/>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t>[Rows</w:t>
            </w:r>
            <w:r>
              <w:t xml:space="preserve"> removed for confidentiality reasons.]</w:t>
            </w:r>
          </w:p>
        </w:tc>
      </w:tr>
      <w:tr w:rsidR="00D90487" w:rsidRPr="00B50900" w:rsidTr="00A971A9">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rsidRPr="00B50900">
              <w:rPr>
                <w:rFonts w:eastAsia="Times New Roman"/>
              </w:rPr>
              <w:t>Greater Fresno</w:t>
            </w:r>
          </w:p>
        </w:tc>
        <w:tc>
          <w:tcPr>
            <w:tcW w:w="12320" w:type="dxa"/>
            <w:gridSpan w:val="14"/>
            <w:vMerge/>
            <w:tcBorders>
              <w:left w:val="nil"/>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p>
        </w:tc>
      </w:tr>
      <w:tr w:rsidR="00D90487" w:rsidRPr="00B50900" w:rsidTr="00A971A9">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rsidRPr="00B50900">
              <w:rPr>
                <w:rFonts w:eastAsia="Times New Roman"/>
              </w:rPr>
              <w:t>Humboldt</w:t>
            </w:r>
          </w:p>
        </w:tc>
        <w:tc>
          <w:tcPr>
            <w:tcW w:w="12320" w:type="dxa"/>
            <w:gridSpan w:val="14"/>
            <w:vMerge/>
            <w:tcBorders>
              <w:left w:val="nil"/>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p>
        </w:tc>
      </w:tr>
      <w:tr w:rsidR="00D90487" w:rsidRPr="00B50900" w:rsidTr="00A971A9">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rsidRPr="00B50900">
              <w:rPr>
                <w:rFonts w:eastAsia="Times New Roman"/>
              </w:rPr>
              <w:t>Kern</w:t>
            </w:r>
          </w:p>
        </w:tc>
        <w:tc>
          <w:tcPr>
            <w:tcW w:w="12320" w:type="dxa"/>
            <w:gridSpan w:val="14"/>
            <w:vMerge/>
            <w:tcBorders>
              <w:left w:val="nil"/>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p>
        </w:tc>
      </w:tr>
      <w:tr w:rsidR="00D90487" w:rsidRPr="00B50900" w:rsidTr="00A971A9">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rsidRPr="00B50900">
              <w:rPr>
                <w:rFonts w:eastAsia="Times New Roman"/>
              </w:rPr>
              <w:t>Northern Coast</w:t>
            </w:r>
          </w:p>
        </w:tc>
        <w:tc>
          <w:tcPr>
            <w:tcW w:w="12320" w:type="dxa"/>
            <w:gridSpan w:val="14"/>
            <w:vMerge/>
            <w:tcBorders>
              <w:left w:val="nil"/>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p>
        </w:tc>
      </w:tr>
      <w:tr w:rsidR="00D90487" w:rsidRPr="00B50900" w:rsidTr="00A971A9">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rsidRPr="00B50900">
              <w:rPr>
                <w:rFonts w:eastAsia="Times New Roman"/>
              </w:rPr>
              <w:t>Other</w:t>
            </w:r>
          </w:p>
        </w:tc>
        <w:tc>
          <w:tcPr>
            <w:tcW w:w="12320" w:type="dxa"/>
            <w:gridSpan w:val="14"/>
            <w:vMerge/>
            <w:tcBorders>
              <w:left w:val="nil"/>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p>
        </w:tc>
      </w:tr>
      <w:tr w:rsidR="00D90487" w:rsidRPr="00B50900" w:rsidTr="00A971A9">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rsidRPr="00B50900">
              <w:rPr>
                <w:rFonts w:eastAsia="Times New Roman"/>
              </w:rPr>
              <w:t>Sierra</w:t>
            </w:r>
          </w:p>
        </w:tc>
        <w:tc>
          <w:tcPr>
            <w:tcW w:w="12320" w:type="dxa"/>
            <w:gridSpan w:val="14"/>
            <w:vMerge/>
            <w:tcBorders>
              <w:left w:val="nil"/>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p>
        </w:tc>
      </w:tr>
      <w:tr w:rsidR="00D90487" w:rsidRPr="00B50900" w:rsidTr="00A971A9">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rsidRPr="00B50900">
              <w:rPr>
                <w:rFonts w:eastAsia="Times New Roman"/>
              </w:rPr>
              <w:t>Stockton</w:t>
            </w:r>
          </w:p>
        </w:tc>
        <w:tc>
          <w:tcPr>
            <w:tcW w:w="12320" w:type="dxa"/>
            <w:gridSpan w:val="14"/>
            <w:vMerge/>
            <w:tcBorders>
              <w:left w:val="nil"/>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p>
        </w:tc>
      </w:tr>
      <w:tr w:rsidR="00B50900" w:rsidRPr="00B50900" w:rsidTr="00EA72EE">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Total</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506</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616</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736</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1,095</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1,347</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1,667</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1,505</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1,434</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1,511</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1,457</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1,322</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1,565</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1,254</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1,284</w:t>
            </w:r>
          </w:p>
        </w:tc>
      </w:tr>
    </w:tbl>
    <w:p w:rsidR="00B30F21" w:rsidRDefault="006E1DD2" w:rsidP="0002323C">
      <w:pPr>
        <w:pStyle w:val="TableFigureCaption"/>
        <w:spacing w:before="160"/>
      </w:pPr>
      <w:r>
        <w:t>Table 4</w:t>
      </w:r>
      <w:r w:rsidR="00B30F21" w:rsidRPr="00AB5E8C">
        <w:t>-</w:t>
      </w:r>
      <w:r w:rsidR="00B30F21">
        <w:t>2</w:t>
      </w:r>
      <w:r w:rsidR="00B30F21" w:rsidRPr="00AB5E8C">
        <w:t xml:space="preserve">: </w:t>
      </w:r>
      <w:r w:rsidR="00EC26CC">
        <w:t xml:space="preserve">PG&amp;E </w:t>
      </w:r>
      <w:r w:rsidR="00B30F21" w:rsidRPr="00AB5E8C">
        <w:t xml:space="preserve">Ex Ante </w:t>
      </w:r>
      <w:r w:rsidR="00B30F21">
        <w:t xml:space="preserve">Load </w:t>
      </w:r>
      <w:r w:rsidR="00B30F21" w:rsidRPr="00AB5E8C">
        <w:t xml:space="preserve">Impact Estimates </w:t>
      </w:r>
      <w:r w:rsidR="00B30F21">
        <w:t>(1-6 PM) on Monthly Peak Days for April-October 2016 (kW) – Base Scenario</w:t>
      </w:r>
    </w:p>
    <w:tbl>
      <w:tblPr>
        <w:tblW w:w="14000" w:type="dxa"/>
        <w:jc w:val="center"/>
        <w:tblInd w:w="93" w:type="dxa"/>
        <w:tblLook w:val="04A0" w:firstRow="1" w:lastRow="0" w:firstColumn="1" w:lastColumn="0" w:noHBand="0" w:noVBand="1"/>
      </w:tblPr>
      <w:tblGrid>
        <w:gridCol w:w="1680"/>
        <w:gridCol w:w="880"/>
        <w:gridCol w:w="880"/>
        <w:gridCol w:w="880"/>
        <w:gridCol w:w="880"/>
        <w:gridCol w:w="880"/>
        <w:gridCol w:w="880"/>
        <w:gridCol w:w="880"/>
        <w:gridCol w:w="880"/>
        <w:gridCol w:w="880"/>
        <w:gridCol w:w="880"/>
        <w:gridCol w:w="880"/>
        <w:gridCol w:w="880"/>
        <w:gridCol w:w="880"/>
        <w:gridCol w:w="880"/>
      </w:tblGrid>
      <w:tr w:rsidR="00B50900" w:rsidRPr="00B50900" w:rsidTr="00EA72EE">
        <w:trPr>
          <w:trHeight w:val="300"/>
          <w:jc w:val="center"/>
        </w:trPr>
        <w:tc>
          <w:tcPr>
            <w:tcW w:w="1680" w:type="dxa"/>
            <w:vMerge w:val="restart"/>
            <w:tcBorders>
              <w:top w:val="single" w:sz="4" w:space="0" w:color="000000"/>
              <w:left w:val="single" w:sz="4" w:space="0" w:color="000000"/>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LCA</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April</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May</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June</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July</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August</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September</w:t>
            </w:r>
          </w:p>
        </w:tc>
        <w:tc>
          <w:tcPr>
            <w:tcW w:w="1760" w:type="dxa"/>
            <w:gridSpan w:val="2"/>
            <w:tcBorders>
              <w:top w:val="single" w:sz="4" w:space="0" w:color="000000"/>
              <w:left w:val="nil"/>
              <w:bottom w:val="single" w:sz="4" w:space="0" w:color="FFFFFF"/>
              <w:right w:val="single" w:sz="4" w:space="0" w:color="000000"/>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October</w:t>
            </w:r>
          </w:p>
        </w:tc>
      </w:tr>
      <w:tr w:rsidR="00B50900" w:rsidRPr="00B50900" w:rsidTr="00EA72EE">
        <w:trPr>
          <w:trHeight w:val="300"/>
          <w:jc w:val="center"/>
        </w:trPr>
        <w:tc>
          <w:tcPr>
            <w:tcW w:w="1680" w:type="dxa"/>
            <w:vMerge/>
            <w:tcBorders>
              <w:top w:val="single" w:sz="4" w:space="0" w:color="000000"/>
              <w:left w:val="single" w:sz="4" w:space="0" w:color="000000"/>
              <w:bottom w:val="single" w:sz="4" w:space="0" w:color="000000"/>
              <w:right w:val="single" w:sz="4" w:space="0" w:color="FFFFFF"/>
            </w:tcBorders>
            <w:vAlign w:val="center"/>
            <w:hideMark/>
          </w:tcPr>
          <w:p w:rsidR="00B50900" w:rsidRPr="00B50900" w:rsidRDefault="00B50900" w:rsidP="0002323C">
            <w:pPr>
              <w:pStyle w:val="TableHeader"/>
              <w:rPr>
                <w:rFonts w:eastAsia="Times New Roman"/>
              </w:rPr>
            </w:pP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1-in-2</w:t>
            </w:r>
          </w:p>
        </w:tc>
        <w:tc>
          <w:tcPr>
            <w:tcW w:w="880" w:type="dxa"/>
            <w:tcBorders>
              <w:top w:val="nil"/>
              <w:left w:val="nil"/>
              <w:bottom w:val="single" w:sz="4" w:space="0" w:color="000000"/>
              <w:right w:val="single" w:sz="4" w:space="0" w:color="000000"/>
            </w:tcBorders>
            <w:shd w:val="clear" w:color="000000" w:fill="1F497D"/>
            <w:vAlign w:val="center"/>
            <w:hideMark/>
          </w:tcPr>
          <w:p w:rsidR="00B50900" w:rsidRPr="00B50900" w:rsidRDefault="00B50900" w:rsidP="0002323C">
            <w:pPr>
              <w:pStyle w:val="TableHeader"/>
              <w:rPr>
                <w:rFonts w:eastAsia="Times New Roman"/>
              </w:rPr>
            </w:pPr>
            <w:r w:rsidRPr="00B50900">
              <w:rPr>
                <w:rFonts w:eastAsia="Times New Roman"/>
              </w:rPr>
              <w:t>1-in-10</w:t>
            </w:r>
          </w:p>
        </w:tc>
      </w:tr>
      <w:tr w:rsidR="00D90487" w:rsidRPr="00B50900" w:rsidTr="00CF1152">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rsidRPr="00B50900">
              <w:rPr>
                <w:rFonts w:eastAsia="Times New Roman"/>
              </w:rPr>
              <w:t>Greater Bay Area</w:t>
            </w:r>
          </w:p>
        </w:tc>
        <w:tc>
          <w:tcPr>
            <w:tcW w:w="12320" w:type="dxa"/>
            <w:gridSpan w:val="14"/>
            <w:vMerge w:val="restart"/>
            <w:tcBorders>
              <w:top w:val="nil"/>
              <w:left w:val="nil"/>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t>[Rows removed for confidentiality reasons.]</w:t>
            </w:r>
          </w:p>
        </w:tc>
      </w:tr>
      <w:tr w:rsidR="00D90487" w:rsidRPr="00B50900" w:rsidTr="00CF1152">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rsidRPr="00B50900">
              <w:rPr>
                <w:rFonts w:eastAsia="Times New Roman"/>
              </w:rPr>
              <w:t>Greater Fresno</w:t>
            </w:r>
          </w:p>
        </w:tc>
        <w:tc>
          <w:tcPr>
            <w:tcW w:w="12320" w:type="dxa"/>
            <w:gridSpan w:val="14"/>
            <w:vMerge/>
            <w:tcBorders>
              <w:left w:val="nil"/>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p>
        </w:tc>
      </w:tr>
      <w:tr w:rsidR="00D90487" w:rsidRPr="00B50900" w:rsidTr="00CF1152">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rsidRPr="00B50900">
              <w:rPr>
                <w:rFonts w:eastAsia="Times New Roman"/>
              </w:rPr>
              <w:t>Humboldt</w:t>
            </w:r>
          </w:p>
        </w:tc>
        <w:tc>
          <w:tcPr>
            <w:tcW w:w="12320" w:type="dxa"/>
            <w:gridSpan w:val="14"/>
            <w:vMerge/>
            <w:tcBorders>
              <w:left w:val="nil"/>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p>
        </w:tc>
      </w:tr>
      <w:tr w:rsidR="00D90487" w:rsidRPr="00B50900" w:rsidTr="00CF1152">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rsidRPr="00B50900">
              <w:rPr>
                <w:rFonts w:eastAsia="Times New Roman"/>
              </w:rPr>
              <w:t>Kern</w:t>
            </w:r>
          </w:p>
        </w:tc>
        <w:tc>
          <w:tcPr>
            <w:tcW w:w="12320" w:type="dxa"/>
            <w:gridSpan w:val="14"/>
            <w:vMerge/>
            <w:tcBorders>
              <w:left w:val="nil"/>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p>
        </w:tc>
      </w:tr>
      <w:tr w:rsidR="00D90487" w:rsidRPr="00B50900" w:rsidTr="00CF1152">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rsidRPr="00B50900">
              <w:rPr>
                <w:rFonts w:eastAsia="Times New Roman"/>
              </w:rPr>
              <w:t>Northern Coast</w:t>
            </w:r>
          </w:p>
        </w:tc>
        <w:tc>
          <w:tcPr>
            <w:tcW w:w="12320" w:type="dxa"/>
            <w:gridSpan w:val="14"/>
            <w:vMerge/>
            <w:tcBorders>
              <w:left w:val="nil"/>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p>
        </w:tc>
      </w:tr>
      <w:tr w:rsidR="00D90487" w:rsidRPr="00B50900" w:rsidTr="00CF1152">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rsidRPr="00B50900">
              <w:rPr>
                <w:rFonts w:eastAsia="Times New Roman"/>
              </w:rPr>
              <w:t>Other</w:t>
            </w:r>
          </w:p>
        </w:tc>
        <w:tc>
          <w:tcPr>
            <w:tcW w:w="12320" w:type="dxa"/>
            <w:gridSpan w:val="14"/>
            <w:vMerge/>
            <w:tcBorders>
              <w:left w:val="nil"/>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p>
        </w:tc>
      </w:tr>
      <w:tr w:rsidR="00D90487" w:rsidRPr="00B50900" w:rsidTr="00CF1152">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rsidRPr="00B50900">
              <w:rPr>
                <w:rFonts w:eastAsia="Times New Roman"/>
              </w:rPr>
              <w:t>Sierra</w:t>
            </w:r>
          </w:p>
        </w:tc>
        <w:tc>
          <w:tcPr>
            <w:tcW w:w="12320" w:type="dxa"/>
            <w:gridSpan w:val="14"/>
            <w:vMerge/>
            <w:tcBorders>
              <w:left w:val="nil"/>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p>
        </w:tc>
      </w:tr>
      <w:tr w:rsidR="00D90487" w:rsidRPr="00B50900" w:rsidTr="00CF1152">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r w:rsidRPr="00B50900">
              <w:rPr>
                <w:rFonts w:eastAsia="Times New Roman"/>
              </w:rPr>
              <w:t>Stockton</w:t>
            </w:r>
          </w:p>
        </w:tc>
        <w:tc>
          <w:tcPr>
            <w:tcW w:w="12320" w:type="dxa"/>
            <w:gridSpan w:val="14"/>
            <w:vMerge/>
            <w:tcBorders>
              <w:left w:val="nil"/>
              <w:bottom w:val="single" w:sz="4" w:space="0" w:color="000000"/>
              <w:right w:val="single" w:sz="4" w:space="0" w:color="000000"/>
            </w:tcBorders>
            <w:shd w:val="clear" w:color="auto" w:fill="auto"/>
            <w:noWrap/>
            <w:vAlign w:val="center"/>
            <w:hideMark/>
          </w:tcPr>
          <w:p w:rsidR="00D90487" w:rsidRPr="00B50900" w:rsidRDefault="00D90487" w:rsidP="0002323C">
            <w:pPr>
              <w:pStyle w:val="TableText"/>
              <w:contextualSpacing/>
              <w:rPr>
                <w:rFonts w:eastAsia="Times New Roman"/>
              </w:rPr>
            </w:pPr>
          </w:p>
        </w:tc>
      </w:tr>
      <w:tr w:rsidR="00B50900" w:rsidRPr="00B50900" w:rsidTr="00EA72EE">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Total</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1,723</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2,099</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2,363</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4,329</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4,948</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5,906</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5,944</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5,115</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5,134</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5,641</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5,438</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5,774</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4,589</w:t>
            </w:r>
          </w:p>
        </w:tc>
        <w:tc>
          <w:tcPr>
            <w:tcW w:w="880" w:type="dxa"/>
            <w:tcBorders>
              <w:top w:val="nil"/>
              <w:left w:val="nil"/>
              <w:bottom w:val="single" w:sz="4" w:space="0" w:color="000000"/>
              <w:right w:val="single" w:sz="4" w:space="0" w:color="000000"/>
            </w:tcBorders>
            <w:shd w:val="clear" w:color="auto" w:fill="auto"/>
            <w:noWrap/>
            <w:vAlign w:val="center"/>
            <w:hideMark/>
          </w:tcPr>
          <w:p w:rsidR="00B50900" w:rsidRPr="00B50900" w:rsidRDefault="00B50900" w:rsidP="0002323C">
            <w:pPr>
              <w:pStyle w:val="TableText"/>
              <w:contextualSpacing/>
              <w:rPr>
                <w:rFonts w:eastAsia="Times New Roman"/>
                <w:b/>
                <w:bCs/>
              </w:rPr>
            </w:pPr>
            <w:r w:rsidRPr="00B50900">
              <w:rPr>
                <w:rFonts w:eastAsia="Times New Roman"/>
                <w:b/>
                <w:bCs/>
              </w:rPr>
              <w:t>4,385</w:t>
            </w:r>
          </w:p>
        </w:tc>
      </w:tr>
    </w:tbl>
    <w:p w:rsidR="00B50900" w:rsidRPr="00525279" w:rsidRDefault="00B50900" w:rsidP="00EA72EE">
      <w:pPr>
        <w:pStyle w:val="BodyParaAfterTableFigure"/>
      </w:pPr>
    </w:p>
    <w:p w:rsidR="005E08AE" w:rsidRDefault="005E08AE" w:rsidP="005E08AE">
      <w:pPr>
        <w:pStyle w:val="BodyParagraph"/>
        <w:rPr>
          <w:b/>
        </w:rPr>
        <w:sectPr w:rsidR="005E08AE" w:rsidSect="005E08AE">
          <w:footerReference w:type="default" r:id="rId26"/>
          <w:pgSz w:w="15840" w:h="12240" w:orient="landscape"/>
          <w:pgMar w:top="1440" w:right="1440" w:bottom="1440" w:left="1440" w:header="720" w:footer="720" w:gutter="0"/>
          <w:cols w:space="720"/>
          <w:docGrid w:linePitch="360"/>
        </w:sectPr>
      </w:pPr>
    </w:p>
    <w:p w:rsidR="00FD3129" w:rsidRDefault="00FD3129" w:rsidP="00EA72EE">
      <w:pPr>
        <w:pStyle w:val="BodyParagraph"/>
      </w:pPr>
      <w:r>
        <w:lastRenderedPageBreak/>
        <w:t>F</w:t>
      </w:r>
      <w:r w:rsidR="006E1DD2">
        <w:t>igure 4</w:t>
      </w:r>
      <w:r>
        <w:t>-1 illustrates how the August 1-in-10 load impact estimates vary by forecast year and scenario.  F</w:t>
      </w:r>
      <w:r w:rsidR="006E1DD2">
        <w:t>igure 4</w:t>
      </w:r>
      <w:r>
        <w:t>-2</w:t>
      </w:r>
      <w:r w:rsidR="005E08AE">
        <w:t xml:space="preserve"> shows the same</w:t>
      </w:r>
      <w:r>
        <w:t xml:space="preserve"> results</w:t>
      </w:r>
      <w:r w:rsidR="005E08AE">
        <w:t xml:space="preserve"> for August 1-in-2 </w:t>
      </w:r>
      <w:r>
        <w:t xml:space="preserve">weather </w:t>
      </w:r>
      <w:r w:rsidR="005E08AE">
        <w:t>conditions.</w:t>
      </w:r>
      <w:r w:rsidR="00E178FD">
        <w:t xml:space="preserve">  Across the forecast years and scenarios, the impacts are higher under August 1-in-10 weather conditions, but the difference is less than 1 MW.  </w:t>
      </w:r>
      <w:r>
        <w:t xml:space="preserve">As described in Section 3, the three scenarios correspond to different </w:t>
      </w:r>
      <w:r w:rsidR="00E178FD">
        <w:t>forecasts</w:t>
      </w:r>
      <w:r>
        <w:t xml:space="preserve"> of the percent </w:t>
      </w:r>
      <w:r w:rsidR="00E178FD">
        <w:t xml:space="preserve">of the total PLS program incentive budget that will be committed by the end of 2014, with 25% assumed </w:t>
      </w:r>
      <w:r w:rsidR="0084211B">
        <w:t>under</w:t>
      </w:r>
      <w:r w:rsidR="00E178FD">
        <w:t xml:space="preserve"> the low scenario, 50% </w:t>
      </w:r>
      <w:r w:rsidR="0084211B">
        <w:t>under the base scenario and 75% under</w:t>
      </w:r>
      <w:r w:rsidR="00E178FD">
        <w:t xml:space="preserve"> the high scenario. </w:t>
      </w:r>
      <w:r w:rsidR="007A3781">
        <w:t xml:space="preserve"> </w:t>
      </w:r>
      <w:r w:rsidR="00CB6C6A">
        <w:t>The different percentages of the total PLS program incentive budget being committed translates into different enrollment forecasts across the three scenarios.</w:t>
      </w:r>
      <w:r w:rsidR="00E178FD">
        <w:t xml:space="preserve"> </w:t>
      </w:r>
      <w:r w:rsidR="007A3781">
        <w:t xml:space="preserve"> </w:t>
      </w:r>
      <w:r w:rsidR="005E08AE">
        <w:t>We consider these scenarios to be about the best that can</w:t>
      </w:r>
      <w:r w:rsidR="00F7270F">
        <w:t> </w:t>
      </w:r>
      <w:r w:rsidR="005E08AE">
        <w:t>be done for estimating the uncertainty associated with these estimates.  The estimation method was not statistical in nature and therefore there are no sta</w:t>
      </w:r>
      <w:r w:rsidR="00E178FD">
        <w:t>ndard errors to report.  As a result of this uncertainty, the aggregate load reduction of the program varies substantially.  When the aggregate impact peaks in 2017 and 2018</w:t>
      </w:r>
      <w:r w:rsidR="00B46DE1">
        <w:t xml:space="preserve"> (before the 2.5% annual degradation begins)</w:t>
      </w:r>
      <w:r w:rsidR="00E178FD">
        <w:t xml:space="preserve">, </w:t>
      </w:r>
      <w:r w:rsidR="00B46DE1">
        <w:t>the PLS program is expected to deliver</w:t>
      </w:r>
      <w:r w:rsidR="002544D0">
        <w:t xml:space="preserve"> from</w:t>
      </w:r>
      <w:r w:rsidR="00B46DE1">
        <w:t xml:space="preserve"> 2.5 MW in the low scenario to over 10 MW in the high scenario.  At 6.5 MW, the aggregate impact for the base scenario is in the middle.</w:t>
      </w:r>
    </w:p>
    <w:p w:rsidR="00FD3129" w:rsidRDefault="00FD3129">
      <w:pPr>
        <w:pStyle w:val="TableFigureCaption"/>
      </w:pPr>
      <w:r>
        <w:t xml:space="preserve">Figure </w:t>
      </w:r>
      <w:r w:rsidR="006E1DD2">
        <w:t>4</w:t>
      </w:r>
      <w:r>
        <w:t xml:space="preserve">-1: PG&amp;E </w:t>
      </w:r>
      <w:r w:rsidRPr="004C6ABC">
        <w:t xml:space="preserve">August </w:t>
      </w:r>
      <w:r>
        <w:t xml:space="preserve">1-in-10 </w:t>
      </w:r>
      <w:r w:rsidRPr="004C6ABC">
        <w:t>Monthly System Peak Day Load Impact</w:t>
      </w:r>
      <w:r>
        <w:t>s (1</w:t>
      </w:r>
      <w:r w:rsidR="00F7270F">
        <w:t>–</w:t>
      </w:r>
      <w:r>
        <w:t>6 PM)</w:t>
      </w:r>
      <w:r>
        <w:br/>
        <w:t>by Forecast Year and Scenario</w:t>
      </w:r>
    </w:p>
    <w:p w:rsidR="00FD3129" w:rsidRDefault="00FD3129" w:rsidP="00EA72EE">
      <w:pPr>
        <w:pStyle w:val="TableFigureCaption"/>
        <w:keepNext w:val="0"/>
      </w:pPr>
      <w:r>
        <w:rPr>
          <w:noProof/>
        </w:rPr>
        <w:drawing>
          <wp:inline distT="0" distB="0" distL="0" distR="0" wp14:anchorId="314685CB" wp14:editId="79877816">
            <wp:extent cx="4934309" cy="267061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37619" cy="2672409"/>
                    </a:xfrm>
                    <a:prstGeom prst="rect">
                      <a:avLst/>
                    </a:prstGeom>
                    <a:noFill/>
                  </pic:spPr>
                </pic:pic>
              </a:graphicData>
            </a:graphic>
          </wp:inline>
        </w:drawing>
      </w:r>
    </w:p>
    <w:p w:rsidR="00FD3129" w:rsidRDefault="00FD3129" w:rsidP="00EA72EE">
      <w:pPr>
        <w:pStyle w:val="TableFigureCaption"/>
        <w:spacing w:before="360"/>
      </w:pPr>
      <w:r>
        <w:lastRenderedPageBreak/>
        <w:t xml:space="preserve">Figure </w:t>
      </w:r>
      <w:r w:rsidR="006E1DD2">
        <w:t>4</w:t>
      </w:r>
      <w:r>
        <w:t xml:space="preserve">-2: PG&amp;E </w:t>
      </w:r>
      <w:r w:rsidRPr="004C6ABC">
        <w:t xml:space="preserve">August </w:t>
      </w:r>
      <w:r>
        <w:t xml:space="preserve">1-in-2 </w:t>
      </w:r>
      <w:r w:rsidRPr="004C6ABC">
        <w:t>Monthly System Peak Day Load Impact</w:t>
      </w:r>
      <w:r>
        <w:t>s (1</w:t>
      </w:r>
      <w:r w:rsidR="00F7270F">
        <w:t>–</w:t>
      </w:r>
      <w:r>
        <w:t>6 PM)</w:t>
      </w:r>
      <w:r>
        <w:br/>
        <w:t>by Forecast Year and Scenario</w:t>
      </w:r>
    </w:p>
    <w:p w:rsidR="00FD3129" w:rsidRDefault="00FD3129" w:rsidP="00FD3129">
      <w:pPr>
        <w:pStyle w:val="TableFigureCaption"/>
      </w:pPr>
      <w:r>
        <w:rPr>
          <w:noProof/>
        </w:rPr>
        <w:drawing>
          <wp:inline distT="0" distB="0" distL="0" distR="0" wp14:anchorId="0AC9B9E1" wp14:editId="77EC9BDD">
            <wp:extent cx="4937760" cy="267004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37760" cy="2670048"/>
                    </a:xfrm>
                    <a:prstGeom prst="rect">
                      <a:avLst/>
                    </a:prstGeom>
                    <a:noFill/>
                  </pic:spPr>
                </pic:pic>
              </a:graphicData>
            </a:graphic>
          </wp:inline>
        </w:drawing>
      </w:r>
    </w:p>
    <w:p w:rsidR="005E08AE" w:rsidRDefault="006E1DD2">
      <w:pPr>
        <w:pStyle w:val="BodyParaAfterTableFigure"/>
      </w:pPr>
      <w:r w:rsidRPr="006E1DD2">
        <w:t>T</w:t>
      </w:r>
      <w:r w:rsidR="005E08AE" w:rsidRPr="006E1DD2">
        <w:t>able</w:t>
      </w:r>
      <w:r>
        <w:t xml:space="preserve"> 4-3</w:t>
      </w:r>
      <w:r w:rsidR="005E08AE">
        <w:t xml:space="preserve"> shows the expecte</w:t>
      </w:r>
      <w:r>
        <w:t>d trajectory of load impacts under</w:t>
      </w:r>
      <w:r w:rsidR="005E08AE">
        <w:t xml:space="preserve"> August 1-in-10 </w:t>
      </w:r>
      <w:r>
        <w:t xml:space="preserve">weather </w:t>
      </w:r>
      <w:r w:rsidR="005E08AE">
        <w:t xml:space="preserve">conditions </w:t>
      </w:r>
      <w:r>
        <w:t>from 2015 through 2024 by LCA</w:t>
      </w:r>
      <w:r w:rsidR="005E08AE">
        <w:t xml:space="preserve">.  Table </w:t>
      </w:r>
      <w:r w:rsidR="00825E80">
        <w:t>4-</w:t>
      </w:r>
      <w:r w:rsidR="007A3781">
        <w:t xml:space="preserve">4 </w:t>
      </w:r>
      <w:r w:rsidR="005E08AE">
        <w:t xml:space="preserve">shows the same </w:t>
      </w:r>
      <w:r>
        <w:t xml:space="preserve">results </w:t>
      </w:r>
      <w:r w:rsidR="005E08AE">
        <w:t>for Aug</w:t>
      </w:r>
      <w:r w:rsidR="001411FB">
        <w:t>ust 1-in-2 conditions.</w:t>
      </w:r>
      <w:r>
        <w:t xml:space="preserve">  The Greater Bay Area and Other LCAs combined account for a majority of load impacts thro</w:t>
      </w:r>
      <w:r w:rsidR="007D4EB9">
        <w:t>ughout the forecast horizon under both 1-in-10 and 1-in-2 weather conditions.  None of the other six LCAs comprise more than 10% of load impacts.  As a result of the assumed 2.5% annual degradation in load impacts after year five of each installation, the aggregate load reduction decreases from around 6.7 MW in 2018 under 1-in-10 weather conditions to 5.8 MW in 2024.</w:t>
      </w:r>
    </w:p>
    <w:p w:rsidR="006E1DD2" w:rsidRDefault="006E1DD2" w:rsidP="006E1DD2">
      <w:pPr>
        <w:pStyle w:val="TableFigureCaption"/>
      </w:pPr>
      <w:r>
        <w:t xml:space="preserve">Table 4-3: PG&amp;E </w:t>
      </w:r>
      <w:r w:rsidRPr="004C6ABC">
        <w:t xml:space="preserve">August </w:t>
      </w:r>
      <w:r>
        <w:t xml:space="preserve">1-in-10 </w:t>
      </w:r>
      <w:r w:rsidRPr="004C6ABC">
        <w:t>Monthly System Peak Day Load Impact</w:t>
      </w:r>
      <w:r>
        <w:t>s (1</w:t>
      </w:r>
      <w:r w:rsidR="00F7270F">
        <w:t>–</w:t>
      </w:r>
      <w:r>
        <w:t>6 PM)</w:t>
      </w:r>
      <w:r>
        <w:br/>
        <w:t>by LCA and Forecast Year – Base Scenario</w:t>
      </w:r>
    </w:p>
    <w:tbl>
      <w:tblPr>
        <w:tblW w:w="10480" w:type="dxa"/>
        <w:jc w:val="center"/>
        <w:tblLook w:val="04A0" w:firstRow="1" w:lastRow="0" w:firstColumn="1" w:lastColumn="0" w:noHBand="0" w:noVBand="1"/>
      </w:tblPr>
      <w:tblGrid>
        <w:gridCol w:w="1680"/>
        <w:gridCol w:w="880"/>
        <w:gridCol w:w="880"/>
        <w:gridCol w:w="880"/>
        <w:gridCol w:w="880"/>
        <w:gridCol w:w="880"/>
        <w:gridCol w:w="880"/>
        <w:gridCol w:w="880"/>
        <w:gridCol w:w="880"/>
        <w:gridCol w:w="880"/>
        <w:gridCol w:w="880"/>
      </w:tblGrid>
      <w:tr w:rsidR="006E1DD2" w:rsidRPr="006E1DD2" w:rsidTr="0002323C">
        <w:trPr>
          <w:trHeight w:val="300"/>
          <w:jc w:val="center"/>
        </w:trPr>
        <w:tc>
          <w:tcPr>
            <w:tcW w:w="1680" w:type="dxa"/>
            <w:tcBorders>
              <w:top w:val="single" w:sz="4" w:space="0" w:color="000000"/>
              <w:left w:val="single" w:sz="4" w:space="0" w:color="000000"/>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LCA</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2015</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2016</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2017</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2018</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2019</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2020</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2021</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2022</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2023</w:t>
            </w:r>
          </w:p>
        </w:tc>
        <w:tc>
          <w:tcPr>
            <w:tcW w:w="880" w:type="dxa"/>
            <w:tcBorders>
              <w:top w:val="single" w:sz="4" w:space="0" w:color="000000"/>
              <w:left w:val="nil"/>
              <w:bottom w:val="single" w:sz="4" w:space="0" w:color="000000"/>
              <w:right w:val="single" w:sz="4" w:space="0" w:color="000000"/>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2024</w:t>
            </w:r>
          </w:p>
        </w:tc>
      </w:tr>
      <w:tr w:rsidR="00D90487" w:rsidRPr="006E1DD2" w:rsidTr="00417167">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rsidRPr="006E1DD2">
              <w:rPr>
                <w:rFonts w:eastAsia="Times New Roman"/>
              </w:rPr>
              <w:t>Greater Bay Area</w:t>
            </w:r>
          </w:p>
        </w:tc>
        <w:tc>
          <w:tcPr>
            <w:tcW w:w="8800" w:type="dxa"/>
            <w:gridSpan w:val="10"/>
            <w:vMerge w:val="restart"/>
            <w:tcBorders>
              <w:top w:val="nil"/>
              <w:left w:val="nil"/>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t>[Rows removed for confidentiality reasons.]</w:t>
            </w:r>
          </w:p>
        </w:tc>
      </w:tr>
      <w:tr w:rsidR="00D90487" w:rsidRPr="006E1DD2" w:rsidTr="00417167">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rsidRPr="006E1DD2">
              <w:rPr>
                <w:rFonts w:eastAsia="Times New Roman"/>
              </w:rPr>
              <w:t>Greater Fresno</w:t>
            </w:r>
          </w:p>
        </w:tc>
        <w:tc>
          <w:tcPr>
            <w:tcW w:w="8800" w:type="dxa"/>
            <w:gridSpan w:val="10"/>
            <w:vMerge/>
            <w:tcBorders>
              <w:left w:val="nil"/>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p>
        </w:tc>
      </w:tr>
      <w:tr w:rsidR="00D90487" w:rsidRPr="006E1DD2" w:rsidTr="00417167">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rsidRPr="006E1DD2">
              <w:rPr>
                <w:rFonts w:eastAsia="Times New Roman"/>
              </w:rPr>
              <w:t>Humboldt</w:t>
            </w:r>
          </w:p>
        </w:tc>
        <w:tc>
          <w:tcPr>
            <w:tcW w:w="8800" w:type="dxa"/>
            <w:gridSpan w:val="10"/>
            <w:vMerge/>
            <w:tcBorders>
              <w:left w:val="nil"/>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p>
        </w:tc>
      </w:tr>
      <w:tr w:rsidR="00D90487" w:rsidRPr="006E1DD2" w:rsidTr="00417167">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rsidRPr="006E1DD2">
              <w:rPr>
                <w:rFonts w:eastAsia="Times New Roman"/>
              </w:rPr>
              <w:t>Kern</w:t>
            </w:r>
          </w:p>
        </w:tc>
        <w:tc>
          <w:tcPr>
            <w:tcW w:w="8800" w:type="dxa"/>
            <w:gridSpan w:val="10"/>
            <w:vMerge/>
            <w:tcBorders>
              <w:left w:val="nil"/>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p>
        </w:tc>
      </w:tr>
      <w:tr w:rsidR="00D90487" w:rsidRPr="006E1DD2" w:rsidTr="00417167">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rsidRPr="006E1DD2">
              <w:rPr>
                <w:rFonts w:eastAsia="Times New Roman"/>
              </w:rPr>
              <w:t>Northern Coast</w:t>
            </w:r>
          </w:p>
        </w:tc>
        <w:tc>
          <w:tcPr>
            <w:tcW w:w="8800" w:type="dxa"/>
            <w:gridSpan w:val="10"/>
            <w:vMerge/>
            <w:tcBorders>
              <w:left w:val="nil"/>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p>
        </w:tc>
      </w:tr>
      <w:tr w:rsidR="00D90487" w:rsidRPr="006E1DD2" w:rsidTr="00417167">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rsidRPr="006E1DD2">
              <w:rPr>
                <w:rFonts w:eastAsia="Times New Roman"/>
              </w:rPr>
              <w:t>Other</w:t>
            </w:r>
          </w:p>
        </w:tc>
        <w:tc>
          <w:tcPr>
            <w:tcW w:w="8800" w:type="dxa"/>
            <w:gridSpan w:val="10"/>
            <w:vMerge/>
            <w:tcBorders>
              <w:left w:val="nil"/>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p>
        </w:tc>
      </w:tr>
      <w:tr w:rsidR="00D90487" w:rsidRPr="006E1DD2" w:rsidTr="00417167">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rsidRPr="006E1DD2">
              <w:rPr>
                <w:rFonts w:eastAsia="Times New Roman"/>
              </w:rPr>
              <w:t>Sierra</w:t>
            </w:r>
          </w:p>
        </w:tc>
        <w:tc>
          <w:tcPr>
            <w:tcW w:w="8800" w:type="dxa"/>
            <w:gridSpan w:val="10"/>
            <w:vMerge/>
            <w:tcBorders>
              <w:left w:val="nil"/>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p>
        </w:tc>
      </w:tr>
      <w:tr w:rsidR="00D90487" w:rsidRPr="006E1DD2" w:rsidTr="00417167">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rsidRPr="006E1DD2">
              <w:rPr>
                <w:rFonts w:eastAsia="Times New Roman"/>
              </w:rPr>
              <w:t>Stockton</w:t>
            </w:r>
          </w:p>
        </w:tc>
        <w:tc>
          <w:tcPr>
            <w:tcW w:w="8800" w:type="dxa"/>
            <w:gridSpan w:val="10"/>
            <w:vMerge/>
            <w:tcBorders>
              <w:left w:val="nil"/>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p>
        </w:tc>
      </w:tr>
      <w:tr w:rsidR="006E1DD2" w:rsidRPr="006E1DD2" w:rsidTr="0002323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Total</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1,457</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5,641</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6,739</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6,739</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6,571</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6,406</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6,246</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6,090</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5,938</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5,789</w:t>
            </w:r>
          </w:p>
        </w:tc>
      </w:tr>
    </w:tbl>
    <w:p w:rsidR="006E1DD2" w:rsidRDefault="006E1DD2" w:rsidP="00825E80">
      <w:pPr>
        <w:pStyle w:val="TableFigureCaption"/>
        <w:spacing w:before="360"/>
      </w:pPr>
      <w:r>
        <w:lastRenderedPageBreak/>
        <w:t xml:space="preserve">Table 4-4: PG&amp;E </w:t>
      </w:r>
      <w:r w:rsidRPr="004C6ABC">
        <w:t xml:space="preserve">August </w:t>
      </w:r>
      <w:r>
        <w:t>1-in</w:t>
      </w:r>
      <w:r w:rsidR="00CB6C6A">
        <w:t>-2</w:t>
      </w:r>
      <w:r>
        <w:t xml:space="preserve"> </w:t>
      </w:r>
      <w:r w:rsidRPr="004C6ABC">
        <w:t>Monthly System Peak Day Load Impact</w:t>
      </w:r>
      <w:r>
        <w:t>s (1</w:t>
      </w:r>
      <w:r w:rsidR="006D2DF1">
        <w:t>–</w:t>
      </w:r>
      <w:r>
        <w:t>6 PM)</w:t>
      </w:r>
      <w:r>
        <w:br/>
        <w:t>by LCA and Forecast Year – Base Scenario</w:t>
      </w:r>
    </w:p>
    <w:tbl>
      <w:tblPr>
        <w:tblW w:w="10480" w:type="dxa"/>
        <w:jc w:val="center"/>
        <w:tblLook w:val="04A0" w:firstRow="1" w:lastRow="0" w:firstColumn="1" w:lastColumn="0" w:noHBand="0" w:noVBand="1"/>
      </w:tblPr>
      <w:tblGrid>
        <w:gridCol w:w="1680"/>
        <w:gridCol w:w="880"/>
        <w:gridCol w:w="880"/>
        <w:gridCol w:w="880"/>
        <w:gridCol w:w="880"/>
        <w:gridCol w:w="880"/>
        <w:gridCol w:w="880"/>
        <w:gridCol w:w="880"/>
        <w:gridCol w:w="880"/>
        <w:gridCol w:w="880"/>
        <w:gridCol w:w="880"/>
      </w:tblGrid>
      <w:tr w:rsidR="006E1DD2" w:rsidRPr="006E1DD2" w:rsidTr="0002323C">
        <w:trPr>
          <w:trHeight w:val="300"/>
          <w:jc w:val="center"/>
        </w:trPr>
        <w:tc>
          <w:tcPr>
            <w:tcW w:w="1680" w:type="dxa"/>
            <w:tcBorders>
              <w:top w:val="single" w:sz="4" w:space="0" w:color="000000"/>
              <w:left w:val="single" w:sz="4" w:space="0" w:color="000000"/>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LCA</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2015</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2016</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2017</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2018</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2019</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2020</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2021</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2022</w:t>
            </w:r>
          </w:p>
        </w:tc>
        <w:tc>
          <w:tcPr>
            <w:tcW w:w="880" w:type="dxa"/>
            <w:tcBorders>
              <w:top w:val="single" w:sz="4" w:space="0" w:color="000000"/>
              <w:left w:val="nil"/>
              <w:bottom w:val="single" w:sz="4" w:space="0" w:color="000000"/>
              <w:right w:val="single" w:sz="4" w:space="0" w:color="FFFFFF"/>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2023</w:t>
            </w:r>
          </w:p>
        </w:tc>
        <w:tc>
          <w:tcPr>
            <w:tcW w:w="880" w:type="dxa"/>
            <w:tcBorders>
              <w:top w:val="single" w:sz="4" w:space="0" w:color="000000"/>
              <w:left w:val="nil"/>
              <w:bottom w:val="single" w:sz="4" w:space="0" w:color="000000"/>
              <w:right w:val="single" w:sz="4" w:space="0" w:color="000000"/>
            </w:tcBorders>
            <w:shd w:val="clear" w:color="000000" w:fill="1F497D" w:themeFill="text2"/>
            <w:vAlign w:val="center"/>
            <w:hideMark/>
          </w:tcPr>
          <w:p w:rsidR="006E1DD2" w:rsidRPr="006E1DD2" w:rsidRDefault="006E1DD2" w:rsidP="0002323C">
            <w:pPr>
              <w:pStyle w:val="TableHeader"/>
              <w:rPr>
                <w:rFonts w:eastAsia="Times New Roman"/>
              </w:rPr>
            </w:pPr>
            <w:r w:rsidRPr="006E1DD2">
              <w:rPr>
                <w:rFonts w:eastAsia="Times New Roman"/>
              </w:rPr>
              <w:t>2024</w:t>
            </w:r>
          </w:p>
        </w:tc>
      </w:tr>
      <w:tr w:rsidR="00D90487" w:rsidRPr="006E1DD2" w:rsidTr="0005660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rsidRPr="006E1DD2">
              <w:rPr>
                <w:rFonts w:eastAsia="Times New Roman"/>
              </w:rPr>
              <w:t>Greater Bay Area</w:t>
            </w:r>
          </w:p>
        </w:tc>
        <w:tc>
          <w:tcPr>
            <w:tcW w:w="8800" w:type="dxa"/>
            <w:gridSpan w:val="10"/>
            <w:vMerge w:val="restart"/>
            <w:tcBorders>
              <w:top w:val="nil"/>
              <w:left w:val="nil"/>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t>[Rows removed for confidentiality reasons.]</w:t>
            </w:r>
          </w:p>
        </w:tc>
      </w:tr>
      <w:tr w:rsidR="00D90487" w:rsidRPr="006E1DD2" w:rsidTr="0005660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rsidRPr="006E1DD2">
              <w:rPr>
                <w:rFonts w:eastAsia="Times New Roman"/>
              </w:rPr>
              <w:t>Greater Fresno</w:t>
            </w:r>
          </w:p>
        </w:tc>
        <w:tc>
          <w:tcPr>
            <w:tcW w:w="8800" w:type="dxa"/>
            <w:gridSpan w:val="10"/>
            <w:vMerge/>
            <w:tcBorders>
              <w:left w:val="nil"/>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p>
        </w:tc>
      </w:tr>
      <w:tr w:rsidR="00D90487" w:rsidRPr="006E1DD2" w:rsidTr="0005660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rsidRPr="006E1DD2">
              <w:rPr>
                <w:rFonts w:eastAsia="Times New Roman"/>
              </w:rPr>
              <w:t>Humboldt</w:t>
            </w:r>
          </w:p>
        </w:tc>
        <w:tc>
          <w:tcPr>
            <w:tcW w:w="8800" w:type="dxa"/>
            <w:gridSpan w:val="10"/>
            <w:vMerge/>
            <w:tcBorders>
              <w:left w:val="nil"/>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p>
        </w:tc>
      </w:tr>
      <w:tr w:rsidR="00D90487" w:rsidRPr="006E1DD2" w:rsidTr="0005660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rsidRPr="006E1DD2">
              <w:rPr>
                <w:rFonts w:eastAsia="Times New Roman"/>
              </w:rPr>
              <w:t>Kern</w:t>
            </w:r>
          </w:p>
        </w:tc>
        <w:tc>
          <w:tcPr>
            <w:tcW w:w="8800" w:type="dxa"/>
            <w:gridSpan w:val="10"/>
            <w:vMerge/>
            <w:tcBorders>
              <w:left w:val="nil"/>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p>
        </w:tc>
      </w:tr>
      <w:tr w:rsidR="00D90487" w:rsidRPr="006E1DD2" w:rsidTr="0005660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rsidRPr="006E1DD2">
              <w:rPr>
                <w:rFonts w:eastAsia="Times New Roman"/>
              </w:rPr>
              <w:t>Northern Coast</w:t>
            </w:r>
          </w:p>
        </w:tc>
        <w:tc>
          <w:tcPr>
            <w:tcW w:w="8800" w:type="dxa"/>
            <w:gridSpan w:val="10"/>
            <w:vMerge/>
            <w:tcBorders>
              <w:left w:val="nil"/>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p>
        </w:tc>
      </w:tr>
      <w:tr w:rsidR="00D90487" w:rsidRPr="006E1DD2" w:rsidTr="0005660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rsidRPr="006E1DD2">
              <w:rPr>
                <w:rFonts w:eastAsia="Times New Roman"/>
              </w:rPr>
              <w:t>Other</w:t>
            </w:r>
          </w:p>
        </w:tc>
        <w:tc>
          <w:tcPr>
            <w:tcW w:w="8800" w:type="dxa"/>
            <w:gridSpan w:val="10"/>
            <w:vMerge/>
            <w:tcBorders>
              <w:left w:val="nil"/>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p>
        </w:tc>
      </w:tr>
      <w:tr w:rsidR="00D90487" w:rsidRPr="006E1DD2" w:rsidTr="0005660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rsidRPr="006E1DD2">
              <w:rPr>
                <w:rFonts w:eastAsia="Times New Roman"/>
              </w:rPr>
              <w:t>Sierra</w:t>
            </w:r>
          </w:p>
        </w:tc>
        <w:tc>
          <w:tcPr>
            <w:tcW w:w="8800" w:type="dxa"/>
            <w:gridSpan w:val="10"/>
            <w:vMerge/>
            <w:tcBorders>
              <w:left w:val="nil"/>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p>
        </w:tc>
      </w:tr>
      <w:tr w:rsidR="00D90487" w:rsidRPr="006E1DD2" w:rsidTr="0005660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r w:rsidRPr="006E1DD2">
              <w:rPr>
                <w:rFonts w:eastAsia="Times New Roman"/>
              </w:rPr>
              <w:t>Stockton</w:t>
            </w:r>
          </w:p>
        </w:tc>
        <w:tc>
          <w:tcPr>
            <w:tcW w:w="8800" w:type="dxa"/>
            <w:gridSpan w:val="10"/>
            <w:vMerge/>
            <w:tcBorders>
              <w:left w:val="nil"/>
              <w:bottom w:val="single" w:sz="4" w:space="0" w:color="000000"/>
              <w:right w:val="single" w:sz="4" w:space="0" w:color="000000"/>
            </w:tcBorders>
            <w:shd w:val="clear" w:color="auto" w:fill="auto"/>
            <w:noWrap/>
            <w:vAlign w:val="center"/>
            <w:hideMark/>
          </w:tcPr>
          <w:p w:rsidR="00D90487" w:rsidRPr="006E1DD2" w:rsidRDefault="00D90487" w:rsidP="0002323C">
            <w:pPr>
              <w:pStyle w:val="TableText"/>
              <w:rPr>
                <w:rFonts w:eastAsia="Times New Roman"/>
              </w:rPr>
            </w:pPr>
          </w:p>
        </w:tc>
      </w:tr>
      <w:tr w:rsidR="006E1DD2" w:rsidRPr="006E1DD2" w:rsidTr="0002323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Total</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1,511</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5,134</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6,275</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6,275</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6,118</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5,965</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5,816</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5,671</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5,529</w:t>
            </w:r>
          </w:p>
        </w:tc>
        <w:tc>
          <w:tcPr>
            <w:tcW w:w="880" w:type="dxa"/>
            <w:tcBorders>
              <w:top w:val="nil"/>
              <w:left w:val="nil"/>
              <w:bottom w:val="single" w:sz="4" w:space="0" w:color="000000"/>
              <w:right w:val="single" w:sz="4" w:space="0" w:color="000000"/>
            </w:tcBorders>
            <w:shd w:val="clear" w:color="auto" w:fill="auto"/>
            <w:noWrap/>
            <w:vAlign w:val="center"/>
            <w:hideMark/>
          </w:tcPr>
          <w:p w:rsidR="006E1DD2" w:rsidRPr="006E1DD2" w:rsidRDefault="006E1DD2" w:rsidP="0002323C">
            <w:pPr>
              <w:pStyle w:val="TableText"/>
              <w:rPr>
                <w:rFonts w:eastAsia="Times New Roman"/>
                <w:b/>
                <w:bCs/>
              </w:rPr>
            </w:pPr>
            <w:r w:rsidRPr="006E1DD2">
              <w:rPr>
                <w:rFonts w:eastAsia="Times New Roman"/>
                <w:b/>
                <w:bCs/>
              </w:rPr>
              <w:t>5,391</w:t>
            </w:r>
          </w:p>
        </w:tc>
      </w:tr>
    </w:tbl>
    <w:p w:rsidR="000E5123" w:rsidRDefault="000E5123" w:rsidP="00825E80">
      <w:pPr>
        <w:pStyle w:val="BodyParaAfterTableFigure"/>
      </w:pPr>
      <w:r>
        <w:t xml:space="preserve">Figure 4-3 compares the </w:t>
      </w:r>
      <w:proofErr w:type="spellStart"/>
      <w:r>
        <w:t>ex ante</w:t>
      </w:r>
      <w:proofErr w:type="spellEnd"/>
      <w:r>
        <w:t xml:space="preserve"> load impact estimates from this evaluation to those from last year’s PLS</w:t>
      </w:r>
      <w:r w:rsidR="006D2DF1">
        <w:t> </w:t>
      </w:r>
      <w:r>
        <w:t xml:space="preserve">program evaluation, for the August 1-in-10 monthly system peak day.  In general, the load impact estimates are similar to those of last year’s evaluation.  The main difference in this year’s evaluation is that it forecasts projects coming online at a slower pace.  </w:t>
      </w:r>
      <w:r w:rsidR="005E72A3">
        <w:t xml:space="preserve">This change is based on information from the PLS program applications that </w:t>
      </w:r>
      <w:r w:rsidR="00B96BE5">
        <w:t>PG&amp;E has received</w:t>
      </w:r>
      <w:r w:rsidR="005E72A3">
        <w:t xml:space="preserve"> since the program opened in October 2013.  Considering that this information was not available at the time, last year’s evaluation forecasted that six</w:t>
      </w:r>
      <w:r w:rsidR="006D2DF1">
        <w:t> </w:t>
      </w:r>
      <w:r w:rsidR="005E72A3">
        <w:t>projects would come online before June 2014 and that six</w:t>
      </w:r>
      <w:r w:rsidR="00B96BE5">
        <w:t xml:space="preserve"> additional</w:t>
      </w:r>
      <w:r w:rsidR="005E72A3">
        <w:t xml:space="preserve"> projects would come online by 2015.  </w:t>
      </w:r>
      <w:r w:rsidR="00E82AE4">
        <w:t xml:space="preserve">Nonetheless, the two forecasts are similar from 2016 onwards.  </w:t>
      </w:r>
      <w:r w:rsidR="00E97668">
        <w:t xml:space="preserve">The base scenario for this year’s evaluation forecasts aggregate load impacts that are roughly 30% higher than the estimates in last year’s evaluation, which is due to modified assumptions regarding the percent of the total PLS program incentive budget that will be spent.  Last year’s evaluation assumed that 32% of the budget would be spent, whereas this year’s evaluation assumes that 50% of the budget will be spend in the base scenario.  </w:t>
      </w:r>
      <w:r w:rsidR="009A2F38">
        <w:t>This change was also based on more recent information, including the applications that PG&amp;E has received so far and the expected number of additional applications that PG&amp;E may receive by the end of 2014</w:t>
      </w:r>
      <w:r w:rsidR="0001614D">
        <w:t>.</w:t>
      </w:r>
    </w:p>
    <w:p w:rsidR="00141481" w:rsidRDefault="000E5123" w:rsidP="00825E80">
      <w:pPr>
        <w:pStyle w:val="TableFigureCaption"/>
      </w:pPr>
      <w:r>
        <w:lastRenderedPageBreak/>
        <w:t xml:space="preserve">Figure 4-3: PG&amp;E Comparison of </w:t>
      </w:r>
      <w:r w:rsidRPr="004C6ABC">
        <w:t xml:space="preserve">August </w:t>
      </w:r>
      <w:r>
        <w:t xml:space="preserve">1-in-10 </w:t>
      </w:r>
      <w:r w:rsidRPr="004C6ABC">
        <w:t>Monthly System Peak Day Load Impact</w:t>
      </w:r>
      <w:r>
        <w:t>s (1</w:t>
      </w:r>
      <w:r w:rsidR="006D2DF1">
        <w:t>–</w:t>
      </w:r>
      <w:r>
        <w:t>6 PM)</w:t>
      </w:r>
      <w:r>
        <w:br/>
        <w:t>to Base Scenario from Last Year’s PLS Program Evaluation</w:t>
      </w:r>
    </w:p>
    <w:p w:rsidR="000E5123" w:rsidRPr="00AC5056" w:rsidRDefault="000E5123" w:rsidP="00825E80">
      <w:pPr>
        <w:pStyle w:val="BodyParagraph"/>
        <w:jc w:val="center"/>
      </w:pPr>
      <w:r>
        <w:rPr>
          <w:noProof/>
        </w:rPr>
        <w:drawing>
          <wp:inline distT="0" distB="0" distL="0" distR="0" wp14:anchorId="48D6BCE8" wp14:editId="7119E194">
            <wp:extent cx="5167223" cy="2793752"/>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69961" cy="2795232"/>
                    </a:xfrm>
                    <a:prstGeom prst="rect">
                      <a:avLst/>
                    </a:prstGeom>
                    <a:noFill/>
                  </pic:spPr>
                </pic:pic>
              </a:graphicData>
            </a:graphic>
          </wp:inline>
        </w:drawing>
      </w:r>
    </w:p>
    <w:p w:rsidR="00141481" w:rsidRDefault="00141481" w:rsidP="00825E80">
      <w:pPr>
        <w:pStyle w:val="Heading2"/>
        <w:spacing w:before="360"/>
      </w:pPr>
      <w:bookmarkStart w:id="19" w:name="_Toc382926514"/>
      <w:r>
        <w:t>SCE Results</w:t>
      </w:r>
      <w:bookmarkEnd w:id="19"/>
    </w:p>
    <w:p w:rsidR="00B96BE5" w:rsidRPr="007A7025" w:rsidRDefault="00740F03" w:rsidP="00B96BE5">
      <w:pPr>
        <w:pStyle w:val="BodyParagraph"/>
        <w:sectPr w:rsidR="00B96BE5" w:rsidRPr="007A7025">
          <w:footerReference w:type="default" r:id="rId30"/>
          <w:pgSz w:w="12240" w:h="15840"/>
          <w:pgMar w:top="1440" w:right="1440" w:bottom="1440" w:left="1440" w:header="720" w:footer="720" w:gutter="0"/>
          <w:cols w:space="720"/>
          <w:docGrid w:linePitch="360"/>
        </w:sectPr>
      </w:pPr>
      <w:r>
        <w:t>Table 4-5</w:t>
      </w:r>
      <w:r w:rsidR="00B96BE5">
        <w:t xml:space="preserve"> provides the </w:t>
      </w:r>
      <w:proofErr w:type="spellStart"/>
      <w:r w:rsidR="00B96BE5">
        <w:t>e</w:t>
      </w:r>
      <w:r w:rsidR="00B96BE5" w:rsidRPr="00B30F21">
        <w:t xml:space="preserve">x </w:t>
      </w:r>
      <w:r w:rsidR="00B96BE5">
        <w:t>a</w:t>
      </w:r>
      <w:r w:rsidR="00B96BE5" w:rsidRPr="00B30F21">
        <w:t>nte</w:t>
      </w:r>
      <w:proofErr w:type="spellEnd"/>
      <w:r w:rsidR="00B96BE5" w:rsidRPr="00B30F21">
        <w:t xml:space="preserve"> </w:t>
      </w:r>
      <w:r w:rsidR="00B96BE5">
        <w:t>l</w:t>
      </w:r>
      <w:r w:rsidR="00B96BE5" w:rsidRPr="00B30F21">
        <w:t xml:space="preserve">oad </w:t>
      </w:r>
      <w:r w:rsidR="00B96BE5">
        <w:t>i</w:t>
      </w:r>
      <w:r w:rsidR="00B96BE5" w:rsidRPr="00B30F21">
        <w:t xml:space="preserve">mpact </w:t>
      </w:r>
      <w:r w:rsidR="00B96BE5">
        <w:t>e</w:t>
      </w:r>
      <w:r w:rsidR="00B96BE5" w:rsidRPr="00B30F21">
        <w:t xml:space="preserve">stimates </w:t>
      </w:r>
      <w:r w:rsidR="00B96BE5">
        <w:t>for</w:t>
      </w:r>
      <w:r w:rsidR="00B96BE5" w:rsidRPr="00B30F21">
        <w:t xml:space="preserve"> </w:t>
      </w:r>
      <w:r w:rsidR="00B96BE5">
        <w:t>m</w:t>
      </w:r>
      <w:r w:rsidR="00B96BE5" w:rsidRPr="00B30F21">
        <w:t xml:space="preserve">onthly </w:t>
      </w:r>
      <w:r w:rsidR="00B96BE5">
        <w:t xml:space="preserve">system peak days in </w:t>
      </w:r>
      <w:r w:rsidR="00B96BE5" w:rsidRPr="00B30F21">
        <w:t>April</w:t>
      </w:r>
      <w:r w:rsidR="00B96BE5">
        <w:t xml:space="preserve"> through </w:t>
      </w:r>
      <w:r w:rsidR="00B96BE5" w:rsidRPr="00B30F21">
        <w:t>October</w:t>
      </w:r>
      <w:r w:rsidR="00B96BE5">
        <w:t xml:space="preserve"> of</w:t>
      </w:r>
      <w:r w:rsidR="006D2DF1">
        <w:t> </w:t>
      </w:r>
      <w:r w:rsidR="00B96BE5" w:rsidRPr="00B30F21">
        <w:t>2015</w:t>
      </w:r>
      <w:r w:rsidR="00B96BE5">
        <w:t>, under 1-in-2 and 1-in-10 weather conditions for the base scenario.  Table 4-</w:t>
      </w:r>
      <w:r>
        <w:t xml:space="preserve">6 and Table 4-7 </w:t>
      </w:r>
      <w:r w:rsidR="00B96BE5">
        <w:t>provide the same results for 2016</w:t>
      </w:r>
      <w:r>
        <w:t xml:space="preserve"> and 2017, respectively</w:t>
      </w:r>
      <w:r w:rsidR="00B96BE5">
        <w:t>.</w:t>
      </w:r>
      <w:r>
        <w:t xml:space="preserve">  SCE’s unidentified projects are forecasted to come online in 2016.  As such, the 2015 aggregate impacts are attributed to the identified projects that are expected to come online, all of which are located in the LA Basin LCA.  Therefore, the Outside LA Basin and Ventura LCAs do not show any impacts until 2016.  Nonetheless, considering that the LA Basin LCA includes 75% of </w:t>
      </w:r>
      <w:r w:rsidR="00B05283">
        <w:t xml:space="preserve">SCE’s non-residential customers, most of the unidentified projects are expected to be located there.  </w:t>
      </w:r>
      <w:r w:rsidR="00B96BE5">
        <w:t>Throughout 201</w:t>
      </w:r>
      <w:r w:rsidR="00B05283">
        <w:t>7</w:t>
      </w:r>
      <w:r w:rsidR="00B96BE5">
        <w:t xml:space="preserve">, the </w:t>
      </w:r>
      <w:r w:rsidR="00B05283">
        <w:t>LA Basin</w:t>
      </w:r>
      <w:r w:rsidR="00B96BE5">
        <w:t xml:space="preserve"> LCA accounts for </w:t>
      </w:r>
      <w:r w:rsidR="00B05283">
        <w:t>a large</w:t>
      </w:r>
      <w:r w:rsidR="00B96BE5">
        <w:t xml:space="preserve"> share of load impacts, ranging from </w:t>
      </w:r>
      <w:r w:rsidR="00B05283">
        <w:t>82</w:t>
      </w:r>
      <w:r w:rsidR="00B96BE5">
        <w:t xml:space="preserve">% of the total in </w:t>
      </w:r>
      <w:r w:rsidR="00B05283">
        <w:t>June to</w:t>
      </w:r>
      <w:r w:rsidR="00B96BE5">
        <w:t xml:space="preserve"> </w:t>
      </w:r>
      <w:r w:rsidR="00B05283">
        <w:t>94</w:t>
      </w:r>
      <w:r w:rsidR="00B96BE5">
        <w:t>% of the tot</w:t>
      </w:r>
      <w:r w:rsidR="00B05283">
        <w:t>al in July.</w:t>
      </w:r>
    </w:p>
    <w:p w:rsidR="00B96BE5" w:rsidRDefault="00B96BE5" w:rsidP="00B96BE5">
      <w:pPr>
        <w:pStyle w:val="TableFigureCaption"/>
      </w:pPr>
      <w:r>
        <w:lastRenderedPageBreak/>
        <w:t>Table 4</w:t>
      </w:r>
      <w:r w:rsidRPr="00AB5E8C">
        <w:t>-</w:t>
      </w:r>
      <w:r w:rsidR="00740F03">
        <w:t>5</w:t>
      </w:r>
      <w:r w:rsidRPr="00AB5E8C">
        <w:t xml:space="preserve">: </w:t>
      </w:r>
      <w:r w:rsidR="00EC26CC">
        <w:t xml:space="preserve">SCE </w:t>
      </w:r>
      <w:r w:rsidRPr="00AB5E8C">
        <w:t xml:space="preserve">Ex Ante </w:t>
      </w:r>
      <w:r>
        <w:t xml:space="preserve">Load </w:t>
      </w:r>
      <w:r w:rsidRPr="00AB5E8C">
        <w:t xml:space="preserve">Impact Estimates </w:t>
      </w:r>
      <w:r>
        <w:t>(1-6 PM) on Monthly Peak Days for April-October 2015 (kW) – Base Scenario</w:t>
      </w:r>
    </w:p>
    <w:tbl>
      <w:tblPr>
        <w:tblW w:w="14000" w:type="dxa"/>
        <w:jc w:val="center"/>
        <w:tblInd w:w="93" w:type="dxa"/>
        <w:tblLook w:val="04A0" w:firstRow="1" w:lastRow="0" w:firstColumn="1" w:lastColumn="0" w:noHBand="0" w:noVBand="1"/>
      </w:tblPr>
      <w:tblGrid>
        <w:gridCol w:w="1680"/>
        <w:gridCol w:w="880"/>
        <w:gridCol w:w="880"/>
        <w:gridCol w:w="880"/>
        <w:gridCol w:w="880"/>
        <w:gridCol w:w="880"/>
        <w:gridCol w:w="880"/>
        <w:gridCol w:w="880"/>
        <w:gridCol w:w="880"/>
        <w:gridCol w:w="880"/>
        <w:gridCol w:w="880"/>
        <w:gridCol w:w="880"/>
        <w:gridCol w:w="880"/>
        <w:gridCol w:w="880"/>
        <w:gridCol w:w="880"/>
      </w:tblGrid>
      <w:tr w:rsidR="00740F03" w:rsidRPr="00740F03" w:rsidTr="00825E80">
        <w:trPr>
          <w:trHeight w:val="300"/>
          <w:jc w:val="center"/>
        </w:trPr>
        <w:tc>
          <w:tcPr>
            <w:tcW w:w="1680" w:type="dxa"/>
            <w:vMerge w:val="restart"/>
            <w:tcBorders>
              <w:top w:val="single" w:sz="4" w:space="0" w:color="000000"/>
              <w:left w:val="single" w:sz="4" w:space="0" w:color="000000"/>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LCA</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April</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May</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June</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July</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August</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September</w:t>
            </w:r>
          </w:p>
        </w:tc>
        <w:tc>
          <w:tcPr>
            <w:tcW w:w="1760" w:type="dxa"/>
            <w:gridSpan w:val="2"/>
            <w:tcBorders>
              <w:top w:val="single" w:sz="4" w:space="0" w:color="000000"/>
              <w:left w:val="nil"/>
              <w:bottom w:val="single" w:sz="4" w:space="0" w:color="FFFFFF"/>
              <w:right w:val="single" w:sz="4" w:space="0" w:color="000000"/>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October</w:t>
            </w:r>
          </w:p>
        </w:tc>
      </w:tr>
      <w:tr w:rsidR="00740F03" w:rsidRPr="00740F03" w:rsidTr="00825E80">
        <w:trPr>
          <w:trHeight w:val="300"/>
          <w:jc w:val="center"/>
        </w:trPr>
        <w:tc>
          <w:tcPr>
            <w:tcW w:w="1680" w:type="dxa"/>
            <w:vMerge/>
            <w:tcBorders>
              <w:top w:val="single" w:sz="4" w:space="0" w:color="000000"/>
              <w:left w:val="single" w:sz="4" w:space="0" w:color="000000"/>
              <w:bottom w:val="single" w:sz="4" w:space="0" w:color="000000"/>
              <w:right w:val="single" w:sz="4" w:space="0" w:color="FFFFFF"/>
            </w:tcBorders>
            <w:vAlign w:val="center"/>
            <w:hideMark/>
          </w:tcPr>
          <w:p w:rsidR="00740F03" w:rsidRPr="00740F03" w:rsidRDefault="00740F03" w:rsidP="0002323C">
            <w:pPr>
              <w:pStyle w:val="TableHeader"/>
              <w:rPr>
                <w:rFonts w:eastAsia="Times New Roman"/>
              </w:rPr>
            </w:pP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000000"/>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1-in-10</w:t>
            </w:r>
          </w:p>
        </w:tc>
      </w:tr>
      <w:tr w:rsidR="00740F03" w:rsidRPr="00740F03" w:rsidTr="00825E80">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LA Basin</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135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320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182</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198</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163</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217</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220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270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2,585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3,656</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4,375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3,743</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4,666</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4,423</w:t>
            </w:r>
          </w:p>
        </w:tc>
      </w:tr>
      <w:tr w:rsidR="00740F03" w:rsidRPr="00740F03" w:rsidTr="00825E80">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Outside LA Basin</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r>
      <w:tr w:rsidR="00740F03" w:rsidRPr="00740F03" w:rsidTr="00825E80">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Ventura</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0</w:t>
            </w:r>
          </w:p>
        </w:tc>
      </w:tr>
      <w:tr w:rsidR="00740F03" w:rsidRPr="00740F03" w:rsidTr="00825E80">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Total</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135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320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182</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198</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163</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217</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220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270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2,585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3,656</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4,375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3,743</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4,666</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4,423</w:t>
            </w:r>
          </w:p>
        </w:tc>
      </w:tr>
    </w:tbl>
    <w:p w:rsidR="00B96BE5" w:rsidRDefault="00B96BE5" w:rsidP="00B96BE5">
      <w:pPr>
        <w:pStyle w:val="TableFigureCaption"/>
        <w:spacing w:before="360"/>
      </w:pPr>
      <w:r>
        <w:t>Table 4</w:t>
      </w:r>
      <w:r w:rsidRPr="00AB5E8C">
        <w:t>-</w:t>
      </w:r>
      <w:r w:rsidR="00740F03">
        <w:t>6</w:t>
      </w:r>
      <w:r w:rsidRPr="00AB5E8C">
        <w:t xml:space="preserve">: </w:t>
      </w:r>
      <w:r w:rsidR="00EC26CC">
        <w:t xml:space="preserve">SCE </w:t>
      </w:r>
      <w:r w:rsidRPr="00AB5E8C">
        <w:t xml:space="preserve">Ex Ante </w:t>
      </w:r>
      <w:r>
        <w:t xml:space="preserve">Load </w:t>
      </w:r>
      <w:r w:rsidRPr="00AB5E8C">
        <w:t xml:space="preserve">Impact Estimates </w:t>
      </w:r>
      <w:r>
        <w:t>(1-6 PM) on Monthly Peak Days for April-October 2016 (kW) – Base Scenario</w:t>
      </w:r>
    </w:p>
    <w:tbl>
      <w:tblPr>
        <w:tblW w:w="14000" w:type="dxa"/>
        <w:jc w:val="center"/>
        <w:tblInd w:w="93" w:type="dxa"/>
        <w:tblLook w:val="04A0" w:firstRow="1" w:lastRow="0" w:firstColumn="1" w:lastColumn="0" w:noHBand="0" w:noVBand="1"/>
      </w:tblPr>
      <w:tblGrid>
        <w:gridCol w:w="1680"/>
        <w:gridCol w:w="880"/>
        <w:gridCol w:w="880"/>
        <w:gridCol w:w="880"/>
        <w:gridCol w:w="880"/>
        <w:gridCol w:w="880"/>
        <w:gridCol w:w="880"/>
        <w:gridCol w:w="880"/>
        <w:gridCol w:w="880"/>
        <w:gridCol w:w="880"/>
        <w:gridCol w:w="880"/>
        <w:gridCol w:w="880"/>
        <w:gridCol w:w="880"/>
        <w:gridCol w:w="880"/>
        <w:gridCol w:w="880"/>
      </w:tblGrid>
      <w:tr w:rsidR="00740F03" w:rsidRPr="00740F03" w:rsidTr="00825E80">
        <w:trPr>
          <w:trHeight w:val="300"/>
          <w:jc w:val="center"/>
        </w:trPr>
        <w:tc>
          <w:tcPr>
            <w:tcW w:w="1680" w:type="dxa"/>
            <w:vMerge w:val="restart"/>
            <w:tcBorders>
              <w:top w:val="single" w:sz="4" w:space="0" w:color="000000"/>
              <w:left w:val="single" w:sz="4" w:space="0" w:color="000000"/>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LCA</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April</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May</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June</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July</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August</w:t>
            </w:r>
          </w:p>
        </w:tc>
        <w:tc>
          <w:tcPr>
            <w:tcW w:w="176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September</w:t>
            </w:r>
          </w:p>
        </w:tc>
        <w:tc>
          <w:tcPr>
            <w:tcW w:w="1760" w:type="dxa"/>
            <w:gridSpan w:val="2"/>
            <w:tcBorders>
              <w:top w:val="single" w:sz="4" w:space="0" w:color="000000"/>
              <w:left w:val="nil"/>
              <w:bottom w:val="single" w:sz="4" w:space="0" w:color="FFFFFF"/>
              <w:right w:val="single" w:sz="4" w:space="0" w:color="000000"/>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October</w:t>
            </w:r>
          </w:p>
        </w:tc>
      </w:tr>
      <w:tr w:rsidR="00740F03" w:rsidRPr="00740F03" w:rsidTr="00825E80">
        <w:trPr>
          <w:trHeight w:val="300"/>
          <w:jc w:val="center"/>
        </w:trPr>
        <w:tc>
          <w:tcPr>
            <w:tcW w:w="1680" w:type="dxa"/>
            <w:vMerge/>
            <w:tcBorders>
              <w:top w:val="single" w:sz="4" w:space="0" w:color="000000"/>
              <w:left w:val="single" w:sz="4" w:space="0" w:color="000000"/>
              <w:bottom w:val="single" w:sz="4" w:space="0" w:color="000000"/>
              <w:right w:val="single" w:sz="4" w:space="0" w:color="FFFFFF"/>
            </w:tcBorders>
            <w:vAlign w:val="center"/>
            <w:hideMark/>
          </w:tcPr>
          <w:p w:rsidR="00740F03" w:rsidRPr="00740F03" w:rsidRDefault="00740F03" w:rsidP="0002323C">
            <w:pPr>
              <w:pStyle w:val="TableHeader"/>
              <w:rPr>
                <w:rFonts w:eastAsia="Times New Roman"/>
              </w:rPr>
            </w:pP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000000"/>
            </w:tcBorders>
            <w:shd w:val="clear" w:color="000000" w:fill="1F497D"/>
            <w:vAlign w:val="center"/>
            <w:hideMark/>
          </w:tcPr>
          <w:p w:rsidR="00740F03" w:rsidRPr="00740F03" w:rsidRDefault="00740F03" w:rsidP="0002323C">
            <w:pPr>
              <w:pStyle w:val="TableHeader"/>
              <w:rPr>
                <w:rFonts w:eastAsia="Times New Roman"/>
              </w:rPr>
            </w:pPr>
            <w:r w:rsidRPr="00740F03">
              <w:rPr>
                <w:rFonts w:eastAsia="Times New Roman"/>
              </w:rPr>
              <w:t>1-in-10</w:t>
            </w:r>
          </w:p>
        </w:tc>
      </w:tr>
      <w:tr w:rsidR="00740F03" w:rsidRPr="00740F03" w:rsidTr="00825E80">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LA Basin</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2,478</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5,877</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3,472</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3,772</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3,230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4,286</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4,506</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5,536</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4,664</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6,596</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6,199</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5,304</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6,829</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6,473</w:t>
            </w:r>
          </w:p>
        </w:tc>
      </w:tr>
      <w:tr w:rsidR="00740F03" w:rsidRPr="00740F03" w:rsidTr="00825E80">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Outside LA Basin</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66</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92</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103</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125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130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148</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151</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175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176</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197</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191</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158</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202</w:t>
            </w:r>
          </w:p>
        </w:tc>
      </w:tr>
      <w:tr w:rsidR="00740F03" w:rsidRPr="00740F03" w:rsidTr="00825E80">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Ventura</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120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94</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206</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262</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301</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338</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370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382</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405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432</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431</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461</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239</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384</w:t>
            </w:r>
          </w:p>
        </w:tc>
      </w:tr>
      <w:tr w:rsidR="00740F03" w:rsidRPr="00740F03" w:rsidTr="00825E80">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Total</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2,664</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6,030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3,771</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4,136</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3,656</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4,754</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5,025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6,070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5,244</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7,205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6,827</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5,956</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7,226</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7,059</w:t>
            </w:r>
          </w:p>
        </w:tc>
      </w:tr>
    </w:tbl>
    <w:p w:rsidR="00740F03" w:rsidRDefault="00740F03" w:rsidP="00740F03">
      <w:pPr>
        <w:pStyle w:val="TableFigureCaption"/>
        <w:spacing w:before="360"/>
      </w:pPr>
      <w:r>
        <w:t>Table 4</w:t>
      </w:r>
      <w:r w:rsidRPr="00AB5E8C">
        <w:t>-</w:t>
      </w:r>
      <w:r>
        <w:t>7</w:t>
      </w:r>
      <w:r w:rsidRPr="00AB5E8C">
        <w:t xml:space="preserve">: </w:t>
      </w:r>
      <w:r w:rsidR="00EC26CC">
        <w:t xml:space="preserve">SCE </w:t>
      </w:r>
      <w:r w:rsidRPr="00AB5E8C">
        <w:t xml:space="preserve">Ex Ante </w:t>
      </w:r>
      <w:r>
        <w:t xml:space="preserve">Load </w:t>
      </w:r>
      <w:r w:rsidRPr="00AB5E8C">
        <w:t xml:space="preserve">Impact Estimates </w:t>
      </w:r>
      <w:r>
        <w:t>(1-6 PM) on Monthly Peak Days for April-October 2017 (kW) – Base Scenario</w:t>
      </w:r>
    </w:p>
    <w:tbl>
      <w:tblPr>
        <w:tblW w:w="14000" w:type="dxa"/>
        <w:jc w:val="center"/>
        <w:tblLook w:val="04A0" w:firstRow="1" w:lastRow="0" w:firstColumn="1" w:lastColumn="0" w:noHBand="0" w:noVBand="1"/>
      </w:tblPr>
      <w:tblGrid>
        <w:gridCol w:w="1680"/>
        <w:gridCol w:w="880"/>
        <w:gridCol w:w="880"/>
        <w:gridCol w:w="880"/>
        <w:gridCol w:w="880"/>
        <w:gridCol w:w="880"/>
        <w:gridCol w:w="880"/>
        <w:gridCol w:w="880"/>
        <w:gridCol w:w="880"/>
        <w:gridCol w:w="880"/>
        <w:gridCol w:w="880"/>
        <w:gridCol w:w="880"/>
        <w:gridCol w:w="880"/>
        <w:gridCol w:w="880"/>
        <w:gridCol w:w="880"/>
      </w:tblGrid>
      <w:tr w:rsidR="00740F03" w:rsidRPr="00740F03" w:rsidTr="0002323C">
        <w:trPr>
          <w:trHeight w:val="300"/>
          <w:jc w:val="center"/>
        </w:trPr>
        <w:tc>
          <w:tcPr>
            <w:tcW w:w="1680" w:type="dxa"/>
            <w:vMerge w:val="restart"/>
            <w:tcBorders>
              <w:top w:val="single" w:sz="4" w:space="0" w:color="000000"/>
              <w:left w:val="single" w:sz="4" w:space="0" w:color="000000"/>
              <w:bottom w:val="single" w:sz="4" w:space="0" w:color="000000"/>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LCA</w:t>
            </w:r>
          </w:p>
        </w:tc>
        <w:tc>
          <w:tcPr>
            <w:tcW w:w="1760" w:type="dxa"/>
            <w:gridSpan w:val="2"/>
            <w:tcBorders>
              <w:top w:val="single" w:sz="4" w:space="0" w:color="000000"/>
              <w:left w:val="nil"/>
              <w:bottom w:val="single" w:sz="4" w:space="0" w:color="FFFFFF"/>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April</w:t>
            </w:r>
          </w:p>
        </w:tc>
        <w:tc>
          <w:tcPr>
            <w:tcW w:w="1760" w:type="dxa"/>
            <w:gridSpan w:val="2"/>
            <w:tcBorders>
              <w:top w:val="single" w:sz="4" w:space="0" w:color="000000"/>
              <w:left w:val="nil"/>
              <w:bottom w:val="single" w:sz="4" w:space="0" w:color="FFFFFF"/>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May</w:t>
            </w:r>
          </w:p>
        </w:tc>
        <w:tc>
          <w:tcPr>
            <w:tcW w:w="1760" w:type="dxa"/>
            <w:gridSpan w:val="2"/>
            <w:tcBorders>
              <w:top w:val="single" w:sz="4" w:space="0" w:color="000000"/>
              <w:left w:val="nil"/>
              <w:bottom w:val="single" w:sz="4" w:space="0" w:color="FFFFFF"/>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June</w:t>
            </w:r>
          </w:p>
        </w:tc>
        <w:tc>
          <w:tcPr>
            <w:tcW w:w="1760" w:type="dxa"/>
            <w:gridSpan w:val="2"/>
            <w:tcBorders>
              <w:top w:val="single" w:sz="4" w:space="0" w:color="000000"/>
              <w:left w:val="nil"/>
              <w:bottom w:val="single" w:sz="4" w:space="0" w:color="FFFFFF"/>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July</w:t>
            </w:r>
          </w:p>
        </w:tc>
        <w:tc>
          <w:tcPr>
            <w:tcW w:w="1760" w:type="dxa"/>
            <w:gridSpan w:val="2"/>
            <w:tcBorders>
              <w:top w:val="single" w:sz="4" w:space="0" w:color="000000"/>
              <w:left w:val="nil"/>
              <w:bottom w:val="single" w:sz="4" w:space="0" w:color="FFFFFF"/>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August</w:t>
            </w:r>
          </w:p>
        </w:tc>
        <w:tc>
          <w:tcPr>
            <w:tcW w:w="1760" w:type="dxa"/>
            <w:gridSpan w:val="2"/>
            <w:tcBorders>
              <w:top w:val="single" w:sz="4" w:space="0" w:color="000000"/>
              <w:left w:val="nil"/>
              <w:bottom w:val="single" w:sz="4" w:space="0" w:color="FFFFFF"/>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September</w:t>
            </w:r>
          </w:p>
        </w:tc>
        <w:tc>
          <w:tcPr>
            <w:tcW w:w="1760" w:type="dxa"/>
            <w:gridSpan w:val="2"/>
            <w:tcBorders>
              <w:top w:val="single" w:sz="4" w:space="0" w:color="000000"/>
              <w:left w:val="nil"/>
              <w:bottom w:val="single" w:sz="4" w:space="0" w:color="FFFFFF"/>
              <w:right w:val="single" w:sz="4" w:space="0" w:color="000000"/>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October</w:t>
            </w:r>
          </w:p>
        </w:tc>
      </w:tr>
      <w:tr w:rsidR="00740F03" w:rsidRPr="00740F03" w:rsidTr="0002323C">
        <w:trPr>
          <w:trHeight w:val="300"/>
          <w:jc w:val="center"/>
        </w:trPr>
        <w:tc>
          <w:tcPr>
            <w:tcW w:w="1680" w:type="dxa"/>
            <w:vMerge/>
            <w:tcBorders>
              <w:top w:val="single" w:sz="4" w:space="0" w:color="000000"/>
              <w:left w:val="single" w:sz="4" w:space="0" w:color="000000"/>
              <w:bottom w:val="single" w:sz="4" w:space="0" w:color="000000"/>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p>
        </w:tc>
        <w:tc>
          <w:tcPr>
            <w:tcW w:w="880" w:type="dxa"/>
            <w:tcBorders>
              <w:top w:val="nil"/>
              <w:left w:val="nil"/>
              <w:bottom w:val="single" w:sz="4" w:space="0" w:color="000000"/>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1-in-10</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1-in-2</w:t>
            </w:r>
          </w:p>
        </w:tc>
        <w:tc>
          <w:tcPr>
            <w:tcW w:w="880" w:type="dxa"/>
            <w:tcBorders>
              <w:top w:val="nil"/>
              <w:left w:val="nil"/>
              <w:bottom w:val="single" w:sz="4" w:space="0" w:color="000000"/>
              <w:right w:val="single" w:sz="4" w:space="0" w:color="000000"/>
            </w:tcBorders>
            <w:shd w:val="clear" w:color="auto" w:fill="1F497D" w:themeFill="text2"/>
            <w:vAlign w:val="center"/>
            <w:hideMark/>
          </w:tcPr>
          <w:p w:rsidR="00740F03" w:rsidRPr="00740F03" w:rsidRDefault="00740F03" w:rsidP="0002323C">
            <w:pPr>
              <w:pStyle w:val="TableHeader"/>
              <w:rPr>
                <w:rFonts w:eastAsia="Times New Roman"/>
              </w:rPr>
            </w:pPr>
            <w:r w:rsidRPr="00740F03">
              <w:rPr>
                <w:rFonts w:eastAsia="Times New Roman"/>
              </w:rPr>
              <w:t>1-in-10</w:t>
            </w:r>
          </w:p>
        </w:tc>
      </w:tr>
      <w:tr w:rsidR="00740F03" w:rsidRPr="00740F03" w:rsidTr="0002323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LA Basin</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3,252</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7,715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4,387</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4,765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3,933</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5,219</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5,295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6,505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5,295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7,488</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6,807</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5,824</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7,261</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6,883</w:t>
            </w:r>
          </w:p>
        </w:tc>
      </w:tr>
      <w:tr w:rsidR="00740F03" w:rsidRPr="00740F03" w:rsidTr="0002323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Outside LA Basin</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199</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179</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222</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247</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250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260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255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260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262</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265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262</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255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189</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242</w:t>
            </w:r>
          </w:p>
        </w:tc>
      </w:tr>
      <w:tr w:rsidR="00740F03" w:rsidRPr="00740F03" w:rsidTr="0002323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Ventura</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361</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281</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495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628</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602</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675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635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655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608</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648</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575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615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287</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rPr>
            </w:pPr>
            <w:r w:rsidRPr="00740F03">
              <w:rPr>
                <w:rFonts w:eastAsia="Times New Roman"/>
              </w:rPr>
              <w:t>461</w:t>
            </w:r>
          </w:p>
        </w:tc>
      </w:tr>
      <w:tr w:rsidR="00740F03" w:rsidRPr="00740F03" w:rsidTr="0002323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Total</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3,812</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8,175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5,103</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5,640</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4,784</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6,154</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6,184</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7,419</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6,165</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8,401</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7,644</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6,694</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7,738</w:t>
            </w:r>
          </w:p>
        </w:tc>
        <w:tc>
          <w:tcPr>
            <w:tcW w:w="880" w:type="dxa"/>
            <w:tcBorders>
              <w:top w:val="nil"/>
              <w:left w:val="nil"/>
              <w:bottom w:val="single" w:sz="4" w:space="0" w:color="000000"/>
              <w:right w:val="single" w:sz="4" w:space="0" w:color="000000"/>
            </w:tcBorders>
            <w:shd w:val="clear" w:color="auto" w:fill="auto"/>
            <w:noWrap/>
            <w:vAlign w:val="center"/>
            <w:hideMark/>
          </w:tcPr>
          <w:p w:rsidR="00740F03" w:rsidRPr="00740F03" w:rsidRDefault="00740F03" w:rsidP="0002323C">
            <w:pPr>
              <w:pStyle w:val="TableText"/>
              <w:rPr>
                <w:rFonts w:eastAsia="Times New Roman"/>
                <w:b/>
                <w:bCs/>
              </w:rPr>
            </w:pPr>
            <w:r w:rsidRPr="00740F03">
              <w:rPr>
                <w:rFonts w:eastAsia="Times New Roman"/>
                <w:b/>
                <w:bCs/>
              </w:rPr>
              <w:t>7,586</w:t>
            </w:r>
          </w:p>
        </w:tc>
      </w:tr>
    </w:tbl>
    <w:p w:rsidR="00B96BE5" w:rsidRDefault="00B96BE5" w:rsidP="00B96BE5">
      <w:pPr>
        <w:pStyle w:val="BodyParagraph"/>
        <w:rPr>
          <w:b/>
        </w:rPr>
        <w:sectPr w:rsidR="00B96BE5" w:rsidSect="005E08AE">
          <w:footerReference w:type="default" r:id="rId31"/>
          <w:pgSz w:w="15840" w:h="12240" w:orient="landscape"/>
          <w:pgMar w:top="1440" w:right="1440" w:bottom="1440" w:left="1440" w:header="720" w:footer="720" w:gutter="0"/>
          <w:cols w:space="720"/>
          <w:docGrid w:linePitch="360"/>
        </w:sectPr>
      </w:pPr>
    </w:p>
    <w:p w:rsidR="00B96BE5" w:rsidRDefault="00B96BE5" w:rsidP="00B96BE5">
      <w:pPr>
        <w:pStyle w:val="BodyParagraph"/>
      </w:pPr>
      <w:r>
        <w:lastRenderedPageBreak/>
        <w:t>Figure 4-</w:t>
      </w:r>
      <w:r w:rsidR="00705556">
        <w:t>4</w:t>
      </w:r>
      <w:r>
        <w:t xml:space="preserve"> illustrates how the August 1-in-10 load impact estimates vary by forecas</w:t>
      </w:r>
      <w:r w:rsidR="00705556">
        <w:t>t year and scenario.  Figure 4-5</w:t>
      </w:r>
      <w:r>
        <w:t xml:space="preserve"> shows the same results for August 1-in-2 weather conditions.  Across the forecast years and scenarios, the impacts are</w:t>
      </w:r>
      <w:r w:rsidR="00705556">
        <w:t xml:space="preserve"> 36% to 41%</w:t>
      </w:r>
      <w:r>
        <w:t xml:space="preserve"> higher under August 1-in-10 weather conditions.  As described in Section 3, the three scenarios correspond to different forecasts of the percent of the total PLS program incentive budget that will be committed by the end of 2014, with </w:t>
      </w:r>
      <w:r w:rsidR="00705556">
        <w:t>40</w:t>
      </w:r>
      <w:r>
        <w:t>% as</w:t>
      </w:r>
      <w:r w:rsidR="00705556">
        <w:t>sumed under the low scenario, 65% under the base scenario and 90</w:t>
      </w:r>
      <w:r>
        <w:t>% under the high scenario.  We consider these scenarios to be about the best that can be done for estimating the uncertainty associated with these estimates.  The estimation method was not statistical in nature and therefore there are no standard errors to report.  As a result of this uncertainty, the aggregate load reduction of the program varies substantially.  When the aggregate impact peaks in 2017 and 2018 (before the 2.5% annual degradation begins), the PLS program i</w:t>
      </w:r>
      <w:r w:rsidR="00705556">
        <w:t xml:space="preserve">s expected to deliver </w:t>
      </w:r>
      <w:r w:rsidR="002544D0">
        <w:t>from</w:t>
      </w:r>
      <w:r w:rsidR="00705556">
        <w:t xml:space="preserve"> </w:t>
      </w:r>
      <w:r>
        <w:t>5</w:t>
      </w:r>
      <w:r w:rsidR="00705556">
        <w:t>.2</w:t>
      </w:r>
      <w:r w:rsidR="002544D0">
        <w:t xml:space="preserve"> MW in the low scenario to</w:t>
      </w:r>
      <w:r>
        <w:t xml:space="preserve"> </w:t>
      </w:r>
      <w:r w:rsidR="00705556">
        <w:t>nearly</w:t>
      </w:r>
      <w:r>
        <w:t xml:space="preserve"> 1</w:t>
      </w:r>
      <w:r w:rsidR="00705556">
        <w:t>2</w:t>
      </w:r>
      <w:r>
        <w:t xml:space="preserve"> MW in the high scenario</w:t>
      </w:r>
      <w:r w:rsidR="00705556">
        <w:t>, under August 1-in-10 weather conditions</w:t>
      </w:r>
      <w:r>
        <w:t xml:space="preserve">.  At </w:t>
      </w:r>
      <w:r w:rsidR="00705556">
        <w:t>8.4</w:t>
      </w:r>
      <w:r>
        <w:t xml:space="preserve"> MW, the aggregate impact for the base scenario is in the</w:t>
      </w:r>
      <w:r w:rsidR="006D2DF1">
        <w:t> </w:t>
      </w:r>
      <w:r>
        <w:t>middle.</w:t>
      </w:r>
    </w:p>
    <w:p w:rsidR="00B96BE5" w:rsidRDefault="00740F03" w:rsidP="00B96BE5">
      <w:pPr>
        <w:pStyle w:val="TableFigureCaption"/>
      </w:pPr>
      <w:r>
        <w:t>Figure 4-4</w:t>
      </w:r>
      <w:r w:rsidR="00B96BE5">
        <w:t xml:space="preserve">: </w:t>
      </w:r>
      <w:r w:rsidR="00A17E04">
        <w:t>SCE</w:t>
      </w:r>
      <w:r w:rsidR="00B96BE5">
        <w:t xml:space="preserve"> </w:t>
      </w:r>
      <w:r w:rsidR="00B96BE5" w:rsidRPr="004C6ABC">
        <w:t xml:space="preserve">August </w:t>
      </w:r>
      <w:r w:rsidR="00B96BE5">
        <w:t xml:space="preserve">1-in-10 </w:t>
      </w:r>
      <w:r w:rsidR="00B96BE5" w:rsidRPr="004C6ABC">
        <w:t>Monthly System Peak Day Load Impact</w:t>
      </w:r>
      <w:r w:rsidR="00B96BE5">
        <w:t>s (1</w:t>
      </w:r>
      <w:r w:rsidR="006D2DF1">
        <w:t>–</w:t>
      </w:r>
      <w:r w:rsidR="00B96BE5">
        <w:t>6 PM)</w:t>
      </w:r>
      <w:r w:rsidR="00B96BE5">
        <w:br/>
        <w:t>by Forecast Year and Scenario</w:t>
      </w:r>
    </w:p>
    <w:p w:rsidR="00B96BE5" w:rsidRDefault="00705556" w:rsidP="00B96BE5">
      <w:pPr>
        <w:pStyle w:val="TableFigureCaption"/>
        <w:keepNext w:val="0"/>
      </w:pPr>
      <w:r>
        <w:rPr>
          <w:noProof/>
        </w:rPr>
        <w:drawing>
          <wp:inline distT="0" distB="0" distL="0" distR="0" wp14:anchorId="06CAF305" wp14:editId="32D9B4E6">
            <wp:extent cx="4937760" cy="267004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37760" cy="2670048"/>
                    </a:xfrm>
                    <a:prstGeom prst="rect">
                      <a:avLst/>
                    </a:prstGeom>
                    <a:noFill/>
                  </pic:spPr>
                </pic:pic>
              </a:graphicData>
            </a:graphic>
          </wp:inline>
        </w:drawing>
      </w:r>
    </w:p>
    <w:p w:rsidR="00B96BE5" w:rsidRDefault="00740F03" w:rsidP="00B96BE5">
      <w:pPr>
        <w:pStyle w:val="TableFigureCaption"/>
        <w:spacing w:before="360"/>
      </w:pPr>
      <w:r>
        <w:lastRenderedPageBreak/>
        <w:t>Figure 4-5</w:t>
      </w:r>
      <w:r w:rsidR="00B96BE5">
        <w:t xml:space="preserve">: </w:t>
      </w:r>
      <w:r w:rsidR="00A17E04">
        <w:t>SCE</w:t>
      </w:r>
      <w:r w:rsidR="00B96BE5">
        <w:t xml:space="preserve"> </w:t>
      </w:r>
      <w:r w:rsidR="00B96BE5" w:rsidRPr="004C6ABC">
        <w:t xml:space="preserve">August </w:t>
      </w:r>
      <w:r w:rsidR="00B96BE5">
        <w:t xml:space="preserve">1-in-2 </w:t>
      </w:r>
      <w:r w:rsidR="00B96BE5" w:rsidRPr="004C6ABC">
        <w:t>Monthly System Peak Day Load Impact</w:t>
      </w:r>
      <w:r w:rsidR="00B96BE5">
        <w:t>s (1</w:t>
      </w:r>
      <w:r w:rsidR="006D2DF1">
        <w:t>–</w:t>
      </w:r>
      <w:r w:rsidR="00B96BE5">
        <w:t>6 PM)</w:t>
      </w:r>
      <w:r w:rsidR="00B96BE5">
        <w:br/>
        <w:t>by Forecast Year and Scenario</w:t>
      </w:r>
    </w:p>
    <w:p w:rsidR="00B96BE5" w:rsidRDefault="009C1CB1" w:rsidP="00B96BE5">
      <w:pPr>
        <w:pStyle w:val="TableFigureCaption"/>
      </w:pPr>
      <w:r>
        <w:rPr>
          <w:noProof/>
        </w:rPr>
        <w:drawing>
          <wp:inline distT="0" distB="0" distL="0" distR="0" wp14:anchorId="7C02B36A" wp14:editId="0EA9D3FC">
            <wp:extent cx="4937760" cy="267004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37760" cy="2670048"/>
                    </a:xfrm>
                    <a:prstGeom prst="rect">
                      <a:avLst/>
                    </a:prstGeom>
                    <a:noFill/>
                  </pic:spPr>
                </pic:pic>
              </a:graphicData>
            </a:graphic>
          </wp:inline>
        </w:drawing>
      </w:r>
    </w:p>
    <w:p w:rsidR="00B96BE5" w:rsidRDefault="00B96BE5" w:rsidP="00B96BE5">
      <w:pPr>
        <w:pStyle w:val="BodyParaAfterTableFigure"/>
      </w:pPr>
      <w:r w:rsidRPr="007A7025">
        <w:t>Table</w:t>
      </w:r>
      <w:r>
        <w:t xml:space="preserve"> 4-</w:t>
      </w:r>
      <w:r w:rsidR="004D2A50">
        <w:t>8</w:t>
      </w:r>
      <w:r>
        <w:t xml:space="preserve"> shows the expected trajectory of load impacts under August 1-in-10 weather conditions from 2015 through 2024 by LCA.  </w:t>
      </w:r>
      <w:r w:rsidRPr="0002323C">
        <w:t xml:space="preserve">Table </w:t>
      </w:r>
      <w:r w:rsidR="0002323C">
        <w:t>4-9</w:t>
      </w:r>
      <w:r>
        <w:t xml:space="preserve"> shows the same results for August 1-in-2 conditions.  The </w:t>
      </w:r>
      <w:r w:rsidR="004D2A50">
        <w:t>LA Basin LCA</w:t>
      </w:r>
      <w:r>
        <w:t xml:space="preserve"> account</w:t>
      </w:r>
      <w:r w:rsidR="004D2A50">
        <w:t>s</w:t>
      </w:r>
      <w:r>
        <w:t xml:space="preserve"> for </w:t>
      </w:r>
      <w:r w:rsidR="004D2A50">
        <w:t>at least 86%</w:t>
      </w:r>
      <w:r>
        <w:t xml:space="preserve"> of load impacts throughout the forecast horizon under both 1-in-10 and 1</w:t>
      </w:r>
      <w:r w:rsidR="0002323C">
        <w:t>-</w:t>
      </w:r>
      <w:r>
        <w:t>in-2 weather conditions.  As a result of the assumed 2.5% annual degradation in load impacts after year five of each installation, the aggregate load re</w:t>
      </w:r>
      <w:r w:rsidR="004D2A50">
        <w:t>duction decreases from around 8.4</w:t>
      </w:r>
      <w:r>
        <w:t xml:space="preserve"> MW in 2018 under 1</w:t>
      </w:r>
      <w:r w:rsidR="004D2A50">
        <w:t>-in-10 weather conditions to 7.2</w:t>
      </w:r>
      <w:r>
        <w:t xml:space="preserve"> MW in 2024.</w:t>
      </w:r>
    </w:p>
    <w:p w:rsidR="00B96BE5" w:rsidRDefault="00B96BE5" w:rsidP="00B96BE5">
      <w:pPr>
        <w:pStyle w:val="TableFigureCaption"/>
      </w:pPr>
      <w:r>
        <w:t>Table 4-</w:t>
      </w:r>
      <w:r w:rsidR="00740F03">
        <w:t>8</w:t>
      </w:r>
      <w:r>
        <w:t xml:space="preserve">: </w:t>
      </w:r>
      <w:r w:rsidR="00A17E04">
        <w:t>SCE</w:t>
      </w:r>
      <w:r>
        <w:t xml:space="preserve"> </w:t>
      </w:r>
      <w:r w:rsidRPr="004C6ABC">
        <w:t xml:space="preserve">August </w:t>
      </w:r>
      <w:r>
        <w:t xml:space="preserve">1-in-10 </w:t>
      </w:r>
      <w:r w:rsidRPr="004C6ABC">
        <w:t>Monthly System Peak Day Load Impact</w:t>
      </w:r>
      <w:r>
        <w:t>s (1-6 PM)</w:t>
      </w:r>
      <w:r>
        <w:br/>
        <w:t>by LCA and Forecast Year – Base Scenario</w:t>
      </w:r>
    </w:p>
    <w:tbl>
      <w:tblPr>
        <w:tblW w:w="10480" w:type="dxa"/>
        <w:jc w:val="center"/>
        <w:tblInd w:w="93" w:type="dxa"/>
        <w:tblLook w:val="04A0" w:firstRow="1" w:lastRow="0" w:firstColumn="1" w:lastColumn="0" w:noHBand="0" w:noVBand="1"/>
      </w:tblPr>
      <w:tblGrid>
        <w:gridCol w:w="1680"/>
        <w:gridCol w:w="880"/>
        <w:gridCol w:w="880"/>
        <w:gridCol w:w="880"/>
        <w:gridCol w:w="880"/>
        <w:gridCol w:w="880"/>
        <w:gridCol w:w="880"/>
        <w:gridCol w:w="880"/>
        <w:gridCol w:w="880"/>
        <w:gridCol w:w="880"/>
        <w:gridCol w:w="880"/>
      </w:tblGrid>
      <w:tr w:rsidR="004D2A50" w:rsidRPr="004D2A50" w:rsidTr="004D2A50">
        <w:trPr>
          <w:trHeight w:val="300"/>
          <w:jc w:val="center"/>
        </w:trPr>
        <w:tc>
          <w:tcPr>
            <w:tcW w:w="1680" w:type="dxa"/>
            <w:tcBorders>
              <w:top w:val="single" w:sz="4" w:space="0" w:color="000000"/>
              <w:left w:val="single" w:sz="4" w:space="0" w:color="000000"/>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LCA</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2015</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2016</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2017</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2018</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2019</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2020</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2021</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2022</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2023</w:t>
            </w:r>
          </w:p>
        </w:tc>
        <w:tc>
          <w:tcPr>
            <w:tcW w:w="880" w:type="dxa"/>
            <w:tcBorders>
              <w:top w:val="single" w:sz="4" w:space="0" w:color="000000"/>
              <w:left w:val="nil"/>
              <w:bottom w:val="single" w:sz="4" w:space="0" w:color="000000"/>
              <w:right w:val="single" w:sz="4" w:space="0" w:color="000000"/>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2024</w:t>
            </w:r>
          </w:p>
        </w:tc>
      </w:tr>
      <w:tr w:rsidR="004D2A50" w:rsidRPr="004D2A50" w:rsidTr="00825E80">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LA Basin</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3,656</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6,596</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7,488</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7,488</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7,301</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7,118</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6,940</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6,767</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6,598</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6,433</w:t>
            </w:r>
          </w:p>
        </w:tc>
      </w:tr>
      <w:tr w:rsidR="004D2A50" w:rsidRPr="004D2A50" w:rsidTr="00825E80">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Outside LA Basin</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176</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265</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265</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258</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252</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245</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239</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233</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227</w:t>
            </w:r>
          </w:p>
        </w:tc>
      </w:tr>
      <w:tr w:rsidR="004D2A50" w:rsidRPr="004D2A50" w:rsidTr="00825E80">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Ventura</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432</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648</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648</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632</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616</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601</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586</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571</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557</w:t>
            </w:r>
          </w:p>
        </w:tc>
      </w:tr>
      <w:tr w:rsidR="004D2A50" w:rsidRPr="004D2A50" w:rsidTr="00825E80">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Total</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3,656</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7,205</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8,401</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8,401</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8,191</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7,986</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7,787</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7,592</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7,402</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7,217</w:t>
            </w:r>
          </w:p>
        </w:tc>
      </w:tr>
    </w:tbl>
    <w:p w:rsidR="00B96BE5" w:rsidRDefault="00B96BE5" w:rsidP="00B96BE5">
      <w:pPr>
        <w:pStyle w:val="TableFigureCaption"/>
        <w:spacing w:before="360"/>
      </w:pPr>
      <w:r>
        <w:t>Table 4-</w:t>
      </w:r>
      <w:r w:rsidR="00740F03">
        <w:t>9</w:t>
      </w:r>
      <w:r>
        <w:t xml:space="preserve">: </w:t>
      </w:r>
      <w:r w:rsidR="00A17E04">
        <w:t>SCE</w:t>
      </w:r>
      <w:r>
        <w:t xml:space="preserve"> </w:t>
      </w:r>
      <w:r w:rsidRPr="004C6ABC">
        <w:t xml:space="preserve">August </w:t>
      </w:r>
      <w:r w:rsidR="00EA72EE">
        <w:t>1-in-2</w:t>
      </w:r>
      <w:r>
        <w:t xml:space="preserve"> </w:t>
      </w:r>
      <w:r w:rsidRPr="004C6ABC">
        <w:t>Monthly System Peak Day Load Impact</w:t>
      </w:r>
      <w:r>
        <w:t>s (1-6 PM)</w:t>
      </w:r>
      <w:r>
        <w:br/>
        <w:t>by LCA and Forecast Year – Base Scenario</w:t>
      </w:r>
    </w:p>
    <w:tbl>
      <w:tblPr>
        <w:tblW w:w="10480" w:type="dxa"/>
        <w:jc w:val="center"/>
        <w:tblInd w:w="93" w:type="dxa"/>
        <w:tblLook w:val="04A0" w:firstRow="1" w:lastRow="0" w:firstColumn="1" w:lastColumn="0" w:noHBand="0" w:noVBand="1"/>
      </w:tblPr>
      <w:tblGrid>
        <w:gridCol w:w="1680"/>
        <w:gridCol w:w="880"/>
        <w:gridCol w:w="880"/>
        <w:gridCol w:w="880"/>
        <w:gridCol w:w="880"/>
        <w:gridCol w:w="880"/>
        <w:gridCol w:w="880"/>
        <w:gridCol w:w="880"/>
        <w:gridCol w:w="880"/>
        <w:gridCol w:w="880"/>
        <w:gridCol w:w="880"/>
      </w:tblGrid>
      <w:tr w:rsidR="004D2A50" w:rsidRPr="004D2A50" w:rsidTr="004D2A50">
        <w:trPr>
          <w:trHeight w:val="300"/>
          <w:jc w:val="center"/>
        </w:trPr>
        <w:tc>
          <w:tcPr>
            <w:tcW w:w="1680" w:type="dxa"/>
            <w:tcBorders>
              <w:top w:val="single" w:sz="4" w:space="0" w:color="000000"/>
              <w:left w:val="single" w:sz="4" w:space="0" w:color="000000"/>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LCA</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2015</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2016</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2017</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2018</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2019</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2020</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2021</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2022</w:t>
            </w:r>
          </w:p>
        </w:tc>
        <w:tc>
          <w:tcPr>
            <w:tcW w:w="880" w:type="dxa"/>
            <w:tcBorders>
              <w:top w:val="single" w:sz="4" w:space="0" w:color="000000"/>
              <w:left w:val="nil"/>
              <w:bottom w:val="single" w:sz="4" w:space="0" w:color="000000"/>
              <w:right w:val="single" w:sz="4" w:space="0" w:color="FFFFFF"/>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2023</w:t>
            </w:r>
          </w:p>
        </w:tc>
        <w:tc>
          <w:tcPr>
            <w:tcW w:w="880" w:type="dxa"/>
            <w:tcBorders>
              <w:top w:val="single" w:sz="4" w:space="0" w:color="000000"/>
              <w:left w:val="nil"/>
              <w:bottom w:val="single" w:sz="4" w:space="0" w:color="000000"/>
              <w:right w:val="single" w:sz="4" w:space="0" w:color="000000"/>
            </w:tcBorders>
            <w:shd w:val="clear" w:color="000000" w:fill="1F497D"/>
            <w:vAlign w:val="center"/>
            <w:hideMark/>
          </w:tcPr>
          <w:p w:rsidR="004D2A50" w:rsidRPr="004D2A50" w:rsidRDefault="004D2A50" w:rsidP="0002323C">
            <w:pPr>
              <w:pStyle w:val="TableHeader"/>
              <w:rPr>
                <w:rFonts w:eastAsia="Times New Roman"/>
              </w:rPr>
            </w:pPr>
            <w:r w:rsidRPr="004D2A50">
              <w:rPr>
                <w:rFonts w:eastAsia="Times New Roman"/>
              </w:rPr>
              <w:t>2024</w:t>
            </w:r>
          </w:p>
        </w:tc>
      </w:tr>
      <w:tr w:rsidR="004D2A50" w:rsidRPr="004D2A50" w:rsidTr="00825E80">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LA Basin</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2,585</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4,664</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5,295</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5,295</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5,162</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5,033</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4,907</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4,785</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4,665</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4,548</w:t>
            </w:r>
          </w:p>
        </w:tc>
      </w:tr>
      <w:tr w:rsidR="004D2A50" w:rsidRPr="004D2A50" w:rsidTr="00825E80">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Outside LA Basin</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175</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262</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262</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256</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249</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243</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237</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231</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225</w:t>
            </w:r>
          </w:p>
        </w:tc>
      </w:tr>
      <w:tr w:rsidR="004D2A50" w:rsidRPr="004D2A50" w:rsidTr="00825E80">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Ventura</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0</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405</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608</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608</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593</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578</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564</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550</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536</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rPr>
            </w:pPr>
            <w:r w:rsidRPr="004D2A50">
              <w:rPr>
                <w:rFonts w:eastAsia="Times New Roman"/>
              </w:rPr>
              <w:t>522</w:t>
            </w:r>
          </w:p>
        </w:tc>
      </w:tr>
      <w:tr w:rsidR="004D2A50" w:rsidRPr="004D2A50" w:rsidTr="00825E80">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Total</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2,585</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5,244</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6,165</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6,165</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6,011</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5,861</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5,714</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5,571</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5,432</w:t>
            </w:r>
          </w:p>
        </w:tc>
        <w:tc>
          <w:tcPr>
            <w:tcW w:w="880" w:type="dxa"/>
            <w:tcBorders>
              <w:top w:val="nil"/>
              <w:left w:val="nil"/>
              <w:bottom w:val="single" w:sz="4" w:space="0" w:color="000000"/>
              <w:right w:val="single" w:sz="4" w:space="0" w:color="000000"/>
            </w:tcBorders>
            <w:shd w:val="clear" w:color="auto" w:fill="auto"/>
            <w:noWrap/>
            <w:vAlign w:val="center"/>
            <w:hideMark/>
          </w:tcPr>
          <w:p w:rsidR="004D2A50" w:rsidRPr="004D2A50" w:rsidRDefault="004D2A50" w:rsidP="0002323C">
            <w:pPr>
              <w:pStyle w:val="TableText"/>
              <w:rPr>
                <w:rFonts w:eastAsia="Times New Roman"/>
                <w:b/>
                <w:bCs/>
              </w:rPr>
            </w:pPr>
            <w:r w:rsidRPr="004D2A50">
              <w:rPr>
                <w:rFonts w:eastAsia="Times New Roman"/>
                <w:b/>
                <w:bCs/>
              </w:rPr>
              <w:t>5,296</w:t>
            </w:r>
          </w:p>
        </w:tc>
      </w:tr>
    </w:tbl>
    <w:p w:rsidR="00B96BE5" w:rsidRDefault="00905A98" w:rsidP="00B96BE5">
      <w:pPr>
        <w:pStyle w:val="BodyParaAfterTableFigure"/>
      </w:pPr>
      <w:r>
        <w:lastRenderedPageBreak/>
        <w:t>Figure 4-6</w:t>
      </w:r>
      <w:r w:rsidR="00B96BE5">
        <w:t xml:space="preserve"> compares the </w:t>
      </w:r>
      <w:proofErr w:type="spellStart"/>
      <w:r w:rsidR="00B96BE5">
        <w:t>ex ante</w:t>
      </w:r>
      <w:proofErr w:type="spellEnd"/>
      <w:r w:rsidR="00B96BE5">
        <w:t xml:space="preserve"> load impact estimates from this evaluation to those from last year’s PLS</w:t>
      </w:r>
      <w:r w:rsidR="006D2DF1">
        <w:t> </w:t>
      </w:r>
      <w:r w:rsidR="00B96BE5">
        <w:t xml:space="preserve">program evaluation, for the August 1-in-10 monthly system peak day.  </w:t>
      </w:r>
      <w:r>
        <w:t>From 2017 onwards</w:t>
      </w:r>
      <w:r w:rsidR="00B96BE5">
        <w:t xml:space="preserve">, the load impact estimates </w:t>
      </w:r>
      <w:r>
        <w:t>for the base scenario are roughly 50% higher than</w:t>
      </w:r>
      <w:r w:rsidR="00B96BE5">
        <w:t xml:space="preserve"> those of last year’s evaluation.  </w:t>
      </w:r>
      <w:r>
        <w:t>As with PG&amp;E, t</w:t>
      </w:r>
      <w:r w:rsidR="00B96BE5">
        <w:t xml:space="preserve">he main difference in this year’s evaluation is that it forecasts projects coming online at a slower pace.  This change is based on information from the PLS program applications that </w:t>
      </w:r>
      <w:r w:rsidR="00A17E04">
        <w:t>SCE</w:t>
      </w:r>
      <w:r w:rsidR="00B96BE5">
        <w:t xml:space="preserve"> has received since the program opened in October 2013.  Considering that this information was not available at the time, last year’</w:t>
      </w:r>
      <w:r>
        <w:t>s evaluation forecasted that five</w:t>
      </w:r>
      <w:r w:rsidR="00B96BE5">
        <w:t xml:space="preserve"> projects would come onli</w:t>
      </w:r>
      <w:r>
        <w:t>ne before June</w:t>
      </w:r>
      <w:r w:rsidR="006D2DF1">
        <w:t> </w:t>
      </w:r>
      <w:r>
        <w:t>2014 and that five</w:t>
      </w:r>
      <w:r w:rsidR="00B96BE5">
        <w:t xml:space="preserve"> additional projects would come online by 2015.  </w:t>
      </w:r>
      <w:r>
        <w:t>From 2017 onwards, the 50% increase in impacts</w:t>
      </w:r>
      <w:r w:rsidR="00B96BE5">
        <w:t xml:space="preserve"> is related to modified assumptions regarding the percent of the total PLS program incentive budget that will be spent.  Last y</w:t>
      </w:r>
      <w:r>
        <w:t>ear’s evaluation assumed that 38</w:t>
      </w:r>
      <w:r w:rsidR="00B96BE5">
        <w:t>% of the budget would be spent, whereas this y</w:t>
      </w:r>
      <w:r>
        <w:t>ear’s evaluation assumes that 65</w:t>
      </w:r>
      <w:r w:rsidR="00B96BE5">
        <w:t xml:space="preserve">% of the budget will be spend in the base scenario.  This change was also based on more recent information on applications that </w:t>
      </w:r>
      <w:r w:rsidR="00A17E04">
        <w:t>SCE</w:t>
      </w:r>
      <w:r w:rsidR="00B96BE5">
        <w:t xml:space="preserve"> has received so far, and the expected number of additional applications that </w:t>
      </w:r>
      <w:r w:rsidR="00A17E04">
        <w:t>SCE</w:t>
      </w:r>
      <w:r w:rsidR="00B96BE5">
        <w:t xml:space="preserve"> will receive by the end of 2014.</w:t>
      </w:r>
      <w:r>
        <w:t xml:space="preserve">  SCE’s identified projects already account for 37% of its incentive budget, so the 38% number from last year now seems </w:t>
      </w:r>
      <w:r w:rsidR="00847CEE">
        <w:t>conservative for the base scenario</w:t>
      </w:r>
      <w:r>
        <w:t>.</w:t>
      </w:r>
    </w:p>
    <w:p w:rsidR="00B96BE5" w:rsidRDefault="00B96BE5" w:rsidP="00B96BE5">
      <w:pPr>
        <w:pStyle w:val="TableFigureCaption"/>
      </w:pPr>
      <w:r>
        <w:t>Figure 4-</w:t>
      </w:r>
      <w:r w:rsidR="00740F03">
        <w:t>6</w:t>
      </w:r>
      <w:r>
        <w:t xml:space="preserve">: </w:t>
      </w:r>
      <w:r w:rsidR="00A17E04">
        <w:t>SCE</w:t>
      </w:r>
      <w:r>
        <w:t xml:space="preserve"> Comparison of </w:t>
      </w:r>
      <w:r w:rsidRPr="004C6ABC">
        <w:t xml:space="preserve">August </w:t>
      </w:r>
      <w:r>
        <w:t xml:space="preserve">1-in-10 </w:t>
      </w:r>
      <w:r w:rsidRPr="004C6ABC">
        <w:t>Monthly System Peak Day Load Impact</w:t>
      </w:r>
      <w:r>
        <w:t>s (1</w:t>
      </w:r>
      <w:r w:rsidR="006D2DF1">
        <w:t>–</w:t>
      </w:r>
      <w:r>
        <w:t>6 PM)</w:t>
      </w:r>
      <w:r>
        <w:br/>
        <w:t>to Base Scenario from Last Year’s PLS Program Evaluation</w:t>
      </w:r>
    </w:p>
    <w:p w:rsidR="00B96BE5" w:rsidRPr="00AC5056" w:rsidRDefault="005A6BC4" w:rsidP="00B96BE5">
      <w:pPr>
        <w:pStyle w:val="BodyParagraph"/>
        <w:jc w:val="center"/>
      </w:pPr>
      <w:r>
        <w:rPr>
          <w:noProof/>
        </w:rPr>
        <w:drawing>
          <wp:inline distT="0" distB="0" distL="0" distR="0" wp14:anchorId="37E5A05F" wp14:editId="7F462AE2">
            <wp:extent cx="5166360" cy="2816352"/>
            <wp:effectExtent l="0" t="0" r="0" b="31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66360" cy="2816352"/>
                    </a:xfrm>
                    <a:prstGeom prst="rect">
                      <a:avLst/>
                    </a:prstGeom>
                    <a:noFill/>
                  </pic:spPr>
                </pic:pic>
              </a:graphicData>
            </a:graphic>
          </wp:inline>
        </w:drawing>
      </w:r>
    </w:p>
    <w:p w:rsidR="00141481" w:rsidRPr="00AC5056" w:rsidRDefault="00141481" w:rsidP="00825E80">
      <w:pPr>
        <w:pStyle w:val="Heading2"/>
        <w:spacing w:before="360"/>
      </w:pPr>
      <w:bookmarkStart w:id="20" w:name="_Toc382926515"/>
      <w:r>
        <w:t>SDG&amp;E Results</w:t>
      </w:r>
      <w:bookmarkEnd w:id="20"/>
    </w:p>
    <w:p w:rsidR="007A568A" w:rsidRDefault="00305AAF" w:rsidP="00825E80">
      <w:pPr>
        <w:pStyle w:val="BodyParagraph"/>
      </w:pPr>
      <w:r>
        <w:t>Table 4-</w:t>
      </w:r>
      <w:r w:rsidR="00EC26CC">
        <w:t>10</w:t>
      </w:r>
      <w:r>
        <w:t xml:space="preserve"> provides the </w:t>
      </w:r>
      <w:proofErr w:type="spellStart"/>
      <w:r>
        <w:t>e</w:t>
      </w:r>
      <w:r w:rsidRPr="00B30F21">
        <w:t xml:space="preserve">x </w:t>
      </w:r>
      <w:r>
        <w:t>a</w:t>
      </w:r>
      <w:r w:rsidRPr="00B30F21">
        <w:t>nte</w:t>
      </w:r>
      <w:proofErr w:type="spellEnd"/>
      <w:r w:rsidRPr="00B30F21">
        <w:t xml:space="preserve"> </w:t>
      </w:r>
      <w:r>
        <w:t>l</w:t>
      </w:r>
      <w:r w:rsidRPr="00B30F21">
        <w:t xml:space="preserve">oad </w:t>
      </w:r>
      <w:r>
        <w:t>i</w:t>
      </w:r>
      <w:r w:rsidRPr="00B30F21">
        <w:t xml:space="preserve">mpact </w:t>
      </w:r>
      <w:r>
        <w:t>e</w:t>
      </w:r>
      <w:r w:rsidRPr="00B30F21">
        <w:t xml:space="preserve">stimates </w:t>
      </w:r>
      <w:r>
        <w:t>for</w:t>
      </w:r>
      <w:r w:rsidRPr="00B30F21">
        <w:t xml:space="preserve"> </w:t>
      </w:r>
      <w:r w:rsidR="007A568A">
        <w:t>2015-2024</w:t>
      </w:r>
      <w:r w:rsidR="00EC26CC">
        <w:t xml:space="preserve"> </w:t>
      </w:r>
      <w:r>
        <w:t>m</w:t>
      </w:r>
      <w:r w:rsidRPr="00B30F21">
        <w:t xml:space="preserve">onthly </w:t>
      </w:r>
      <w:r>
        <w:t xml:space="preserve">system peak days in </w:t>
      </w:r>
      <w:r w:rsidRPr="00B30F21">
        <w:t>April</w:t>
      </w:r>
      <w:r>
        <w:t xml:space="preserve"> through </w:t>
      </w:r>
      <w:r w:rsidRPr="00B30F21">
        <w:t>October</w:t>
      </w:r>
      <w:r>
        <w:t xml:space="preserve">, under 1-in-2 and 1-in-10 weather conditions for the base scenario.  </w:t>
      </w:r>
      <w:r w:rsidR="009C1CB1">
        <w:t xml:space="preserve">SDG&amp;E’s service territory only has one LCA, so the results are not divided geographically.  In the base scenario, one </w:t>
      </w:r>
      <w:r>
        <w:t>SDG&amp;E unidentified project</w:t>
      </w:r>
      <w:r w:rsidR="009C1CB1">
        <w:t xml:space="preserve"> comes online in 2015 and another comes online in 2016 along with the identified project that comes online at that time.  </w:t>
      </w:r>
      <w:r>
        <w:t>As such, the 2015 aggregate impacts are attributed to</w:t>
      </w:r>
      <w:r w:rsidR="006D2DF1">
        <w:t> </w:t>
      </w:r>
      <w:r>
        <w:t xml:space="preserve">the </w:t>
      </w:r>
      <w:r w:rsidR="009C1CB1">
        <w:t>first unidentified project, and from 2016 onwards, all three projects are included in the forecast.</w:t>
      </w:r>
      <w:r w:rsidR="007A568A">
        <w:t xml:space="preserve">  Table</w:t>
      </w:r>
      <w:r w:rsidR="006D2DF1">
        <w:t xml:space="preserve"> 4-10</w:t>
      </w:r>
      <w:r w:rsidR="007A568A">
        <w:t xml:space="preserve"> also shows the expected trajectory of load impacts through 2024.  As a result of the assumed 2.5% annual degradation in load impacts after year five of each installation, the aggregate load </w:t>
      </w:r>
      <w:r w:rsidR="007A568A">
        <w:lastRenderedPageBreak/>
        <w:t>reduction</w:t>
      </w:r>
      <w:r w:rsidR="007767DF" w:rsidRPr="007767DF">
        <w:t xml:space="preserve"> </w:t>
      </w:r>
      <w:r w:rsidR="007767DF">
        <w:t>under August 1-in-10 weather conditions</w:t>
      </w:r>
      <w:r w:rsidR="007A568A">
        <w:t xml:space="preserve"> decreases from around 2.2 MW in 2018 to 1.9 MW in 2024.</w:t>
      </w:r>
    </w:p>
    <w:p w:rsidR="00305AAF" w:rsidRPr="007A7025" w:rsidRDefault="00305AAF" w:rsidP="00305AAF">
      <w:pPr>
        <w:pStyle w:val="BodyParagraph"/>
        <w:sectPr w:rsidR="00305AAF" w:rsidRPr="007A7025">
          <w:footerReference w:type="default" r:id="rId35"/>
          <w:pgSz w:w="12240" w:h="15840"/>
          <w:pgMar w:top="1440" w:right="1440" w:bottom="1440" w:left="1440" w:header="720" w:footer="720" w:gutter="0"/>
          <w:cols w:space="720"/>
          <w:docGrid w:linePitch="360"/>
        </w:sectPr>
      </w:pPr>
    </w:p>
    <w:p w:rsidR="00305AAF" w:rsidRDefault="00305AAF" w:rsidP="00305AAF">
      <w:pPr>
        <w:pStyle w:val="TableFigureCaption"/>
      </w:pPr>
      <w:r>
        <w:lastRenderedPageBreak/>
        <w:t>Table 4</w:t>
      </w:r>
      <w:r w:rsidRPr="00AB5E8C">
        <w:t>-</w:t>
      </w:r>
      <w:r w:rsidR="00EC26CC">
        <w:t>10</w:t>
      </w:r>
      <w:r w:rsidRPr="00AB5E8C">
        <w:t xml:space="preserve">: </w:t>
      </w:r>
      <w:r w:rsidR="00EC26CC">
        <w:t xml:space="preserve">SDG&amp;E </w:t>
      </w:r>
      <w:r w:rsidRPr="00AB5E8C">
        <w:t xml:space="preserve">Ex Ante </w:t>
      </w:r>
      <w:r>
        <w:t xml:space="preserve">Load </w:t>
      </w:r>
      <w:r w:rsidRPr="00AB5E8C">
        <w:t xml:space="preserve">Impact Estimates </w:t>
      </w:r>
      <w:r>
        <w:t>(1-6 PM) on Monthly Peak Days for April-October 2015</w:t>
      </w:r>
      <w:r w:rsidR="00EC26CC">
        <w:t>-20</w:t>
      </w:r>
      <w:r w:rsidR="007A568A">
        <w:t>24</w:t>
      </w:r>
      <w:r>
        <w:t xml:space="preserve"> (kW) – Base Scenario</w:t>
      </w:r>
    </w:p>
    <w:tbl>
      <w:tblPr>
        <w:tblW w:w="14000" w:type="dxa"/>
        <w:jc w:val="center"/>
        <w:tblLook w:val="04A0" w:firstRow="1" w:lastRow="0" w:firstColumn="1" w:lastColumn="0" w:noHBand="0" w:noVBand="1"/>
      </w:tblPr>
      <w:tblGrid>
        <w:gridCol w:w="1680"/>
        <w:gridCol w:w="880"/>
        <w:gridCol w:w="880"/>
        <w:gridCol w:w="880"/>
        <w:gridCol w:w="880"/>
        <w:gridCol w:w="880"/>
        <w:gridCol w:w="880"/>
        <w:gridCol w:w="880"/>
        <w:gridCol w:w="880"/>
        <w:gridCol w:w="880"/>
        <w:gridCol w:w="880"/>
        <w:gridCol w:w="880"/>
        <w:gridCol w:w="880"/>
        <w:gridCol w:w="880"/>
        <w:gridCol w:w="880"/>
      </w:tblGrid>
      <w:tr w:rsidR="007A568A" w:rsidRPr="007A568A" w:rsidTr="0002323C">
        <w:trPr>
          <w:trHeight w:val="300"/>
          <w:jc w:val="center"/>
        </w:trPr>
        <w:tc>
          <w:tcPr>
            <w:tcW w:w="1680" w:type="dxa"/>
            <w:vMerge w:val="restart"/>
            <w:tcBorders>
              <w:top w:val="single" w:sz="4" w:space="0" w:color="000000"/>
              <w:left w:val="single" w:sz="4" w:space="0" w:color="000000"/>
              <w:bottom w:val="single" w:sz="4" w:space="0" w:color="000000"/>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Forecast Year</w:t>
            </w:r>
          </w:p>
        </w:tc>
        <w:tc>
          <w:tcPr>
            <w:tcW w:w="1760" w:type="dxa"/>
            <w:gridSpan w:val="2"/>
            <w:tcBorders>
              <w:top w:val="single" w:sz="4" w:space="0" w:color="000000"/>
              <w:left w:val="nil"/>
              <w:bottom w:val="single" w:sz="4" w:space="0" w:color="FFFFFF"/>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April</w:t>
            </w:r>
          </w:p>
        </w:tc>
        <w:tc>
          <w:tcPr>
            <w:tcW w:w="1760" w:type="dxa"/>
            <w:gridSpan w:val="2"/>
            <w:tcBorders>
              <w:top w:val="single" w:sz="4" w:space="0" w:color="000000"/>
              <w:left w:val="nil"/>
              <w:bottom w:val="single" w:sz="4" w:space="0" w:color="FFFFFF"/>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May</w:t>
            </w:r>
          </w:p>
        </w:tc>
        <w:tc>
          <w:tcPr>
            <w:tcW w:w="1760" w:type="dxa"/>
            <w:gridSpan w:val="2"/>
            <w:tcBorders>
              <w:top w:val="single" w:sz="4" w:space="0" w:color="000000"/>
              <w:left w:val="nil"/>
              <w:bottom w:val="single" w:sz="4" w:space="0" w:color="FFFFFF"/>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June</w:t>
            </w:r>
          </w:p>
        </w:tc>
        <w:tc>
          <w:tcPr>
            <w:tcW w:w="1760" w:type="dxa"/>
            <w:gridSpan w:val="2"/>
            <w:tcBorders>
              <w:top w:val="single" w:sz="4" w:space="0" w:color="000000"/>
              <w:left w:val="nil"/>
              <w:bottom w:val="single" w:sz="4" w:space="0" w:color="FFFFFF"/>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July</w:t>
            </w:r>
          </w:p>
        </w:tc>
        <w:tc>
          <w:tcPr>
            <w:tcW w:w="1760" w:type="dxa"/>
            <w:gridSpan w:val="2"/>
            <w:tcBorders>
              <w:top w:val="single" w:sz="4" w:space="0" w:color="000000"/>
              <w:left w:val="nil"/>
              <w:bottom w:val="single" w:sz="4" w:space="0" w:color="FFFFFF"/>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August</w:t>
            </w:r>
          </w:p>
        </w:tc>
        <w:tc>
          <w:tcPr>
            <w:tcW w:w="1760" w:type="dxa"/>
            <w:gridSpan w:val="2"/>
            <w:tcBorders>
              <w:top w:val="single" w:sz="4" w:space="0" w:color="000000"/>
              <w:left w:val="nil"/>
              <w:bottom w:val="single" w:sz="4" w:space="0" w:color="FFFFFF"/>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September</w:t>
            </w:r>
          </w:p>
        </w:tc>
        <w:tc>
          <w:tcPr>
            <w:tcW w:w="1760" w:type="dxa"/>
            <w:gridSpan w:val="2"/>
            <w:tcBorders>
              <w:top w:val="single" w:sz="4" w:space="0" w:color="000000"/>
              <w:left w:val="nil"/>
              <w:bottom w:val="single" w:sz="4" w:space="0" w:color="FFFFFF"/>
              <w:right w:val="single" w:sz="4" w:space="0" w:color="000000"/>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October</w:t>
            </w:r>
          </w:p>
        </w:tc>
      </w:tr>
      <w:tr w:rsidR="007A568A" w:rsidRPr="007A568A" w:rsidTr="0002323C">
        <w:trPr>
          <w:trHeight w:val="300"/>
          <w:jc w:val="center"/>
        </w:trPr>
        <w:tc>
          <w:tcPr>
            <w:tcW w:w="1680" w:type="dxa"/>
            <w:vMerge/>
            <w:tcBorders>
              <w:top w:val="single" w:sz="4" w:space="0" w:color="000000"/>
              <w:left w:val="single" w:sz="4" w:space="0" w:color="000000"/>
              <w:bottom w:val="single" w:sz="4" w:space="0" w:color="000000"/>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p>
        </w:tc>
        <w:tc>
          <w:tcPr>
            <w:tcW w:w="880" w:type="dxa"/>
            <w:tcBorders>
              <w:top w:val="nil"/>
              <w:left w:val="nil"/>
              <w:bottom w:val="single" w:sz="4" w:space="0" w:color="000000"/>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1-in-2</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1-in-10</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1-in-2</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1-in-10</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1-in-2</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1-in-10</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1-in-2</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1-in-10</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1-in-2</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1-in-10</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1-in-2</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1-in-10</w:t>
            </w:r>
          </w:p>
        </w:tc>
        <w:tc>
          <w:tcPr>
            <w:tcW w:w="880" w:type="dxa"/>
            <w:tcBorders>
              <w:top w:val="nil"/>
              <w:left w:val="nil"/>
              <w:bottom w:val="single" w:sz="4" w:space="0" w:color="000000"/>
              <w:right w:val="single" w:sz="4" w:space="0" w:color="FFFFFF"/>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1-in-2</w:t>
            </w:r>
          </w:p>
        </w:tc>
        <w:tc>
          <w:tcPr>
            <w:tcW w:w="880" w:type="dxa"/>
            <w:tcBorders>
              <w:top w:val="nil"/>
              <w:left w:val="nil"/>
              <w:bottom w:val="single" w:sz="4" w:space="0" w:color="000000"/>
              <w:right w:val="single" w:sz="4" w:space="0" w:color="000000"/>
            </w:tcBorders>
            <w:shd w:val="clear" w:color="auto" w:fill="1F497D" w:themeFill="text2"/>
            <w:vAlign w:val="center"/>
            <w:hideMark/>
          </w:tcPr>
          <w:p w:rsidR="007A568A" w:rsidRPr="007A568A" w:rsidRDefault="007A568A" w:rsidP="0002323C">
            <w:pPr>
              <w:pStyle w:val="TableHeader"/>
              <w:rPr>
                <w:rFonts w:eastAsia="Times New Roman"/>
              </w:rPr>
            </w:pPr>
            <w:r w:rsidRPr="007A568A">
              <w:rPr>
                <w:rFonts w:eastAsia="Times New Roman"/>
              </w:rPr>
              <w:t>1-in-10</w:t>
            </w:r>
          </w:p>
        </w:tc>
      </w:tr>
      <w:tr w:rsidR="007A568A" w:rsidRPr="007A568A" w:rsidTr="0002323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2015</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472</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675</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378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693</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392</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399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574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626</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518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654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612</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759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644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745</w:t>
            </w:r>
          </w:p>
        </w:tc>
      </w:tr>
      <w:tr w:rsidR="007A568A" w:rsidRPr="007A568A" w:rsidTr="0002323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2016</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1,562</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2,233</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1,250</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2,291</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1,296</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1,319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1,898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2,071</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1,713</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2,164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2,025</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2,511</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2,129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2,465</w:t>
            </w:r>
          </w:p>
        </w:tc>
      </w:tr>
      <w:tr w:rsidR="007A568A" w:rsidRPr="007A568A" w:rsidTr="0002323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2017</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1,562</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2,233</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1,250</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2,291</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1,296</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1,319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1,898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2,071</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1,713</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2,164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2,025</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2,511</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2,129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2,465</w:t>
            </w:r>
          </w:p>
        </w:tc>
      </w:tr>
      <w:tr w:rsidR="007A568A" w:rsidRPr="007A568A" w:rsidTr="0002323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2018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1,562</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2,233</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1,250</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2,291</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1,296</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1,319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1,898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2,071</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1,713</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2,164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2,025</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2,511</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2,129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2,465</w:t>
            </w:r>
          </w:p>
        </w:tc>
      </w:tr>
      <w:tr w:rsidR="007A568A" w:rsidRPr="007A568A" w:rsidTr="0002323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2019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1,523</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2,177</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1,218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2,234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1,264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1,286</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1,850</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2,020</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1,670</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2,110</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1,974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2,448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2,076</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2,403</w:t>
            </w:r>
          </w:p>
        </w:tc>
      </w:tr>
      <w:tr w:rsidR="007A568A" w:rsidRPr="007A568A" w:rsidTr="0002323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2020</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1,485</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2,123</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1,188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2,178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1,232</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1,254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1,804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1,969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1,628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2,057</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1,925</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2,387</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2,024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2,343</w:t>
            </w:r>
          </w:p>
        </w:tc>
      </w:tr>
      <w:tr w:rsidR="007A568A" w:rsidRPr="007A568A" w:rsidTr="0002323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2021</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1,448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2,070</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1,158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2,124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1,201</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1,223</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1,759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1,920</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1,587</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2,006</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1,877</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2,327</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1,973</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2,284</w:t>
            </w:r>
          </w:p>
        </w:tc>
      </w:tr>
      <w:tr w:rsidR="007A568A" w:rsidRPr="007A568A" w:rsidTr="0002323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2022</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1,412</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2,018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1,129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2,070</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1,171</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1,192</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1,715</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1,872</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1,548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1,955</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1,830</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2,269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1,924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2,227</w:t>
            </w:r>
          </w:p>
        </w:tc>
      </w:tr>
      <w:tr w:rsidR="007A568A" w:rsidRPr="007A568A" w:rsidTr="0002323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2023</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1,376</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1,968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1,101</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2,019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1,142</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1,162</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1,672</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1,825</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1,509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1,907</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1,784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2,212</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1,876</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2,172</w:t>
            </w:r>
          </w:p>
        </w:tc>
      </w:tr>
      <w:tr w:rsidR="007A568A" w:rsidRPr="007A568A" w:rsidTr="0002323C">
        <w:trPr>
          <w:trHeight w:val="300"/>
          <w:jc w:val="center"/>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2024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1,342</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1,919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1,074</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1,968</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1,113</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1,133</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1,630</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1,779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1,471</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1,859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1,740</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2,157</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1,829</w:t>
            </w:r>
          </w:p>
        </w:tc>
        <w:tc>
          <w:tcPr>
            <w:tcW w:w="880" w:type="dxa"/>
            <w:tcBorders>
              <w:top w:val="nil"/>
              <w:left w:val="nil"/>
              <w:bottom w:val="single" w:sz="4" w:space="0" w:color="000000"/>
              <w:right w:val="single" w:sz="4" w:space="0" w:color="000000"/>
            </w:tcBorders>
            <w:shd w:val="clear" w:color="auto" w:fill="auto"/>
            <w:noWrap/>
            <w:vAlign w:val="center"/>
            <w:hideMark/>
          </w:tcPr>
          <w:p w:rsidR="007A568A" w:rsidRPr="007A568A" w:rsidRDefault="007A568A" w:rsidP="0002323C">
            <w:pPr>
              <w:pStyle w:val="TableText"/>
              <w:rPr>
                <w:rFonts w:eastAsia="Times New Roman"/>
              </w:rPr>
            </w:pPr>
            <w:r w:rsidRPr="007A568A">
              <w:rPr>
                <w:rFonts w:eastAsia="Times New Roman"/>
              </w:rPr>
              <w:t>2,117</w:t>
            </w:r>
          </w:p>
        </w:tc>
      </w:tr>
    </w:tbl>
    <w:p w:rsidR="00EC26CC" w:rsidRPr="00EC26CC" w:rsidRDefault="00EC26CC" w:rsidP="00825E80">
      <w:pPr>
        <w:pStyle w:val="BodyParaAfterTableFigure"/>
      </w:pPr>
    </w:p>
    <w:p w:rsidR="00305AAF" w:rsidRDefault="00305AAF" w:rsidP="00305AAF">
      <w:pPr>
        <w:pStyle w:val="BodyParagraph"/>
        <w:rPr>
          <w:b/>
        </w:rPr>
        <w:sectPr w:rsidR="00305AAF" w:rsidSect="005E08AE">
          <w:footerReference w:type="default" r:id="rId36"/>
          <w:pgSz w:w="15840" w:h="12240" w:orient="landscape"/>
          <w:pgMar w:top="1440" w:right="1440" w:bottom="1440" w:left="1440" w:header="720" w:footer="720" w:gutter="0"/>
          <w:cols w:space="720"/>
          <w:docGrid w:linePitch="360"/>
        </w:sectPr>
      </w:pPr>
    </w:p>
    <w:p w:rsidR="00305AAF" w:rsidRDefault="00305AAF" w:rsidP="00305AAF">
      <w:pPr>
        <w:pStyle w:val="BodyParagraph"/>
      </w:pPr>
      <w:r>
        <w:lastRenderedPageBreak/>
        <w:t>Figure 4-</w:t>
      </w:r>
      <w:r w:rsidR="00DD68EC">
        <w:t>7</w:t>
      </w:r>
      <w:r>
        <w:t xml:space="preserve"> illustrates how the August 1-in-10 load impact estimates vary by forecast year and scenario.  Figure 4-</w:t>
      </w:r>
      <w:r w:rsidR="00DD68EC">
        <w:t>8</w:t>
      </w:r>
      <w:r>
        <w:t xml:space="preserve"> shows the same results for August 1-in-2 weather conditions.  Across the forecast years and scenarios, the impacts are </w:t>
      </w:r>
      <w:r w:rsidR="009C1CB1">
        <w:t>roughly 26%</w:t>
      </w:r>
      <w:r>
        <w:t xml:space="preserve"> higher under August 1-in-10 weather conditions.  As described in Section 3, the three scenarios correspond to different forecasts of the percent of the total PLS program incentive budget that will</w:t>
      </w:r>
      <w:r w:rsidR="009C1CB1">
        <w:t xml:space="preserve"> be committed by the end of 2016</w:t>
      </w:r>
      <w:r>
        <w:t xml:space="preserve">, with </w:t>
      </w:r>
      <w:r w:rsidR="009C1CB1">
        <w:t>6</w:t>
      </w:r>
      <w:r>
        <w:t xml:space="preserve">0% assumed under the low scenario, </w:t>
      </w:r>
      <w:r w:rsidR="009C1CB1">
        <w:t>7</w:t>
      </w:r>
      <w:r>
        <w:t xml:space="preserve">5% under the base scenario and 90% under the high scenario.  We consider these scenarios to be about the best that can be done for estimating the uncertainty associated with these estimates.  The estimation method was not statistical in nature and therefore there are no standard errors to report.  As a result of this uncertainty, the aggregate load reduction of the program varies.  When the aggregate impact peaks </w:t>
      </w:r>
      <w:r w:rsidR="009C1CB1">
        <w:t>in</w:t>
      </w:r>
      <w:r>
        <w:t xml:space="preserve"> 201</w:t>
      </w:r>
      <w:r w:rsidR="009C1CB1">
        <w:t>6</w:t>
      </w:r>
      <w:r>
        <w:t xml:space="preserve"> </w:t>
      </w:r>
      <w:r w:rsidR="009C1CB1">
        <w:t>through</w:t>
      </w:r>
      <w:r>
        <w:t xml:space="preserve"> 2018 (before the 2.5% annual degradation begins), the PLS program is expected to deliver from </w:t>
      </w:r>
      <w:r w:rsidR="00C83845">
        <w:t>1.7</w:t>
      </w:r>
      <w:r>
        <w:t xml:space="preserve"> MW in the low scenario to nearly </w:t>
      </w:r>
      <w:r w:rsidR="00C83845">
        <w:t>2.6</w:t>
      </w:r>
      <w:r>
        <w:t xml:space="preserve"> MW in the high scenario, under August 1-in-10 weather conditions.  At </w:t>
      </w:r>
      <w:r w:rsidR="00C83845">
        <w:t>2.2</w:t>
      </w:r>
      <w:r>
        <w:t xml:space="preserve"> MW, the aggregate impact for the base scenario is in the middle.</w:t>
      </w:r>
    </w:p>
    <w:p w:rsidR="00305AAF" w:rsidRDefault="00305AAF" w:rsidP="00305AAF">
      <w:pPr>
        <w:pStyle w:val="TableFigureCaption"/>
      </w:pPr>
      <w:r>
        <w:t>Figure 4-</w:t>
      </w:r>
      <w:r w:rsidR="00EC26CC">
        <w:t>7</w:t>
      </w:r>
      <w:r>
        <w:t xml:space="preserve">: SDG&amp;E </w:t>
      </w:r>
      <w:r w:rsidRPr="004C6ABC">
        <w:t xml:space="preserve">August </w:t>
      </w:r>
      <w:r>
        <w:t xml:space="preserve">1-in-10 </w:t>
      </w:r>
      <w:r w:rsidRPr="004C6ABC">
        <w:t>Monthly System Peak Day Load Impact</w:t>
      </w:r>
      <w:r>
        <w:t>s (1</w:t>
      </w:r>
      <w:r w:rsidR="006D2DF1">
        <w:t>–</w:t>
      </w:r>
      <w:r>
        <w:t>6 PM)</w:t>
      </w:r>
      <w:r>
        <w:br/>
        <w:t>by Forecast Year and Scenario</w:t>
      </w:r>
    </w:p>
    <w:p w:rsidR="00305AAF" w:rsidRDefault="009C1CB1" w:rsidP="00305AAF">
      <w:pPr>
        <w:pStyle w:val="TableFigureCaption"/>
        <w:keepNext w:val="0"/>
      </w:pPr>
      <w:r>
        <w:rPr>
          <w:noProof/>
        </w:rPr>
        <w:drawing>
          <wp:inline distT="0" distB="0" distL="0" distR="0" wp14:anchorId="1051DC63" wp14:editId="2F807272">
            <wp:extent cx="4937760" cy="267004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37760" cy="2670048"/>
                    </a:xfrm>
                    <a:prstGeom prst="rect">
                      <a:avLst/>
                    </a:prstGeom>
                    <a:noFill/>
                  </pic:spPr>
                </pic:pic>
              </a:graphicData>
            </a:graphic>
          </wp:inline>
        </w:drawing>
      </w:r>
    </w:p>
    <w:p w:rsidR="00305AAF" w:rsidRDefault="00305AAF" w:rsidP="00305AAF">
      <w:pPr>
        <w:pStyle w:val="TableFigureCaption"/>
        <w:spacing w:before="360"/>
      </w:pPr>
      <w:r>
        <w:lastRenderedPageBreak/>
        <w:t>Figure 4-</w:t>
      </w:r>
      <w:r w:rsidR="00EC26CC">
        <w:t>8</w:t>
      </w:r>
      <w:r>
        <w:t xml:space="preserve">: SDG&amp;E </w:t>
      </w:r>
      <w:r w:rsidRPr="004C6ABC">
        <w:t xml:space="preserve">August </w:t>
      </w:r>
      <w:r>
        <w:t xml:space="preserve">1-in-2 </w:t>
      </w:r>
      <w:r w:rsidRPr="004C6ABC">
        <w:t>Monthly System Peak Day Load Impact</w:t>
      </w:r>
      <w:r>
        <w:t>s (1</w:t>
      </w:r>
      <w:r w:rsidR="006D2DF1">
        <w:t>–</w:t>
      </w:r>
      <w:r>
        <w:t>6 PM)</w:t>
      </w:r>
      <w:r>
        <w:br/>
        <w:t>by Forecast Year and Scenario</w:t>
      </w:r>
    </w:p>
    <w:p w:rsidR="00305AAF" w:rsidRDefault="009C1CB1" w:rsidP="00305AAF">
      <w:pPr>
        <w:pStyle w:val="TableFigureCaption"/>
      </w:pPr>
      <w:r>
        <w:rPr>
          <w:noProof/>
        </w:rPr>
        <w:drawing>
          <wp:inline distT="0" distB="0" distL="0" distR="0" wp14:anchorId="74EF895C" wp14:editId="24758CFA">
            <wp:extent cx="4937760" cy="2670048"/>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37760" cy="2670048"/>
                    </a:xfrm>
                    <a:prstGeom prst="rect">
                      <a:avLst/>
                    </a:prstGeom>
                    <a:noFill/>
                  </pic:spPr>
                </pic:pic>
              </a:graphicData>
            </a:graphic>
          </wp:inline>
        </w:drawing>
      </w:r>
    </w:p>
    <w:p w:rsidR="00305AAF" w:rsidRDefault="00305AAF" w:rsidP="00305AAF">
      <w:pPr>
        <w:pStyle w:val="BodyParaAfterTableFigure"/>
      </w:pPr>
      <w:r>
        <w:t>Figure 4-</w:t>
      </w:r>
      <w:r w:rsidR="00DD68EC">
        <w:t>9</w:t>
      </w:r>
      <w:r>
        <w:t xml:space="preserve"> compares the </w:t>
      </w:r>
      <w:proofErr w:type="spellStart"/>
      <w:r>
        <w:t>ex ante</w:t>
      </w:r>
      <w:proofErr w:type="spellEnd"/>
      <w:r>
        <w:t xml:space="preserve"> load impact estimates from this evaluation to those from last year’s PLS</w:t>
      </w:r>
      <w:r w:rsidR="006D2DF1">
        <w:t> </w:t>
      </w:r>
      <w:r>
        <w:t>program evaluation, for the August 1-in-10 monthly system peak day.  From 201</w:t>
      </w:r>
      <w:r w:rsidR="00E9285C">
        <w:t>6</w:t>
      </w:r>
      <w:r>
        <w:t xml:space="preserve"> onwards, the load impact estimates for</w:t>
      </w:r>
      <w:r w:rsidR="00E9285C">
        <w:t xml:space="preserve"> the base scenario are 41</w:t>
      </w:r>
      <w:r>
        <w:t>%</w:t>
      </w:r>
      <w:r w:rsidR="00E9285C">
        <w:t xml:space="preserve"> to 45%</w:t>
      </w:r>
      <w:r>
        <w:t xml:space="preserve"> higher than those of last year’s evaluation.  As with PG&amp;E</w:t>
      </w:r>
      <w:r w:rsidR="00E9285C">
        <w:t xml:space="preserve"> and SCE</w:t>
      </w:r>
      <w:r>
        <w:t xml:space="preserve">, the main difference in this year’s evaluation is that it forecasts projects coming online at a slower pace.  This change is based on information from the PLS program applications that SDG&amp;E has received since the program opened in October 2013.  Considering that this information was not available at the time, last year’s evaluation forecasted that </w:t>
      </w:r>
      <w:r w:rsidR="00E9285C">
        <w:t>two</w:t>
      </w:r>
      <w:r>
        <w:t xml:space="preserve"> projects would come online before June 2014 and that</w:t>
      </w:r>
      <w:r w:rsidR="00E9285C">
        <w:t xml:space="preserve"> two</w:t>
      </w:r>
      <w:r>
        <w:t xml:space="preserve"> additional projects would come online by 2015.  F</w:t>
      </w:r>
      <w:r w:rsidR="00E9285C">
        <w:t>rom 2016</w:t>
      </w:r>
      <w:r>
        <w:t xml:space="preserve"> onwards, the increase in impacts is related to modified assumptions regarding the percent of the total PLS program incentive budget that will be spent.  Last year’s evaluation assumed that 3</w:t>
      </w:r>
      <w:r w:rsidR="00E9285C">
        <w:t>4</w:t>
      </w:r>
      <w:r>
        <w:t xml:space="preserve">% of the budget would be spent, whereas this year’s evaluation assumes that </w:t>
      </w:r>
      <w:r w:rsidR="00E9285C">
        <w:t>7</w:t>
      </w:r>
      <w:r>
        <w:t>5% of the budget will be spend in the base scenario.  This change was also based on more recent information on applications that SDG&amp;E has received so far, and the expected number of additional applications that SDG&amp;E will receive by the end of 201</w:t>
      </w:r>
      <w:r w:rsidR="00E9285C">
        <w:t>6</w:t>
      </w:r>
      <w:r>
        <w:t>.  SDG&amp;E’s identified project already account for</w:t>
      </w:r>
      <w:r w:rsidR="00E9285C">
        <w:t xml:space="preserve"> 30</w:t>
      </w:r>
      <w:r>
        <w:t>% of its incentive budget, so the 3</w:t>
      </w:r>
      <w:r w:rsidR="00E9285C">
        <w:t>4</w:t>
      </w:r>
      <w:r>
        <w:t>% number from</w:t>
      </w:r>
      <w:r w:rsidR="004D2F04">
        <w:t> </w:t>
      </w:r>
      <w:r>
        <w:t>last</w:t>
      </w:r>
      <w:r w:rsidR="004D2F04">
        <w:t> </w:t>
      </w:r>
      <w:r>
        <w:t>year</w:t>
      </w:r>
      <w:r w:rsidR="004D2F04">
        <w:t> </w:t>
      </w:r>
      <w:r>
        <w:t>now seems conservative for the base scenario.</w:t>
      </w:r>
    </w:p>
    <w:p w:rsidR="00305AAF" w:rsidRDefault="00305AAF" w:rsidP="00305AAF">
      <w:pPr>
        <w:pStyle w:val="TableFigureCaption"/>
      </w:pPr>
      <w:r>
        <w:lastRenderedPageBreak/>
        <w:t>Figure 4-</w:t>
      </w:r>
      <w:r w:rsidR="00EC26CC">
        <w:t>9</w:t>
      </w:r>
      <w:r>
        <w:t xml:space="preserve">: SDG&amp;E Comparison of </w:t>
      </w:r>
      <w:r w:rsidRPr="004C6ABC">
        <w:t xml:space="preserve">August </w:t>
      </w:r>
      <w:r>
        <w:t xml:space="preserve">1-in-10 </w:t>
      </w:r>
      <w:r w:rsidRPr="004C6ABC">
        <w:t>Monthly System Peak Day Load Impact</w:t>
      </w:r>
      <w:r>
        <w:t>s (1</w:t>
      </w:r>
      <w:r w:rsidR="004D2F04">
        <w:t>–</w:t>
      </w:r>
      <w:r>
        <w:t>6 PM)</w:t>
      </w:r>
      <w:r>
        <w:br/>
        <w:t>to Base Scenario from Last Year’s PLS Program Evaluation</w:t>
      </w:r>
    </w:p>
    <w:p w:rsidR="00141481" w:rsidRDefault="00DD68EC" w:rsidP="00825E80">
      <w:pPr>
        <w:pStyle w:val="BodyParagraph"/>
        <w:jc w:val="center"/>
      </w:pPr>
      <w:r>
        <w:rPr>
          <w:noProof/>
        </w:rPr>
        <w:drawing>
          <wp:inline distT="0" distB="0" distL="0" distR="0" wp14:anchorId="70DBB3E7" wp14:editId="37918726">
            <wp:extent cx="4937760" cy="268833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37760" cy="2688336"/>
                    </a:xfrm>
                    <a:prstGeom prst="rect">
                      <a:avLst/>
                    </a:prstGeom>
                    <a:noFill/>
                  </pic:spPr>
                </pic:pic>
              </a:graphicData>
            </a:graphic>
          </wp:inline>
        </w:drawing>
      </w:r>
    </w:p>
    <w:p w:rsidR="00305AAF" w:rsidRDefault="00305AAF" w:rsidP="00825E80">
      <w:pPr>
        <w:pStyle w:val="BodyParagraph"/>
        <w:jc w:val="center"/>
      </w:pPr>
    </w:p>
    <w:p w:rsidR="00141481" w:rsidRPr="00141481" w:rsidRDefault="00141481" w:rsidP="00825E80">
      <w:pPr>
        <w:pStyle w:val="BodyParagraph"/>
      </w:pPr>
    </w:p>
    <w:p w:rsidR="00F64960" w:rsidRPr="00141481" w:rsidRDefault="00F64960" w:rsidP="00141481">
      <w:pPr>
        <w:pStyle w:val="ListParagraph"/>
        <w:numPr>
          <w:ilvl w:val="0"/>
          <w:numId w:val="15"/>
        </w:numPr>
      </w:pPr>
      <w:r>
        <w:br w:type="page"/>
      </w:r>
    </w:p>
    <w:p w:rsidR="00D1196A" w:rsidRDefault="00D1196A" w:rsidP="00D1196A">
      <w:pPr>
        <w:pStyle w:val="Heading1"/>
      </w:pPr>
      <w:bookmarkStart w:id="21" w:name="_Toc382926516"/>
      <w:r>
        <w:lastRenderedPageBreak/>
        <w:t>Recommendations</w:t>
      </w:r>
      <w:bookmarkEnd w:id="21"/>
    </w:p>
    <w:p w:rsidR="009A3834" w:rsidRDefault="00F64960" w:rsidP="00825E80">
      <w:pPr>
        <w:pStyle w:val="BodyParagraph"/>
      </w:pPr>
      <w:r>
        <w:t>The main</w:t>
      </w:r>
      <w:r w:rsidR="00400A49">
        <w:t xml:space="preserve"> recommendation for </w:t>
      </w:r>
      <w:r>
        <w:t>future program evaluation</w:t>
      </w:r>
      <w:r w:rsidR="00400A49">
        <w:t xml:space="preserve"> is to implement a clear and detailed set of EM&amp;V rules to ensure that the utilities know how much load drop they have received and can expect to</w:t>
      </w:r>
      <w:r w:rsidR="004D2F04">
        <w:t> </w:t>
      </w:r>
      <w:r w:rsidR="00400A49">
        <w:t>receive in the future.</w:t>
      </w:r>
    </w:p>
    <w:p w:rsidR="001F03FC" w:rsidRDefault="001F03FC">
      <w:pPr>
        <w:rPr>
          <w:rFonts w:eastAsia="Times New Roman" w:cs="Times New Roman"/>
          <w:b/>
          <w:color w:val="1F497D"/>
          <w:sz w:val="28"/>
          <w:szCs w:val="28"/>
        </w:rPr>
      </w:pPr>
      <w:r>
        <w:br w:type="page"/>
      </w:r>
    </w:p>
    <w:p w:rsidR="00400A49" w:rsidRDefault="009A3834" w:rsidP="009A3834">
      <w:pPr>
        <w:pStyle w:val="AppendixHeading"/>
      </w:pPr>
      <w:bookmarkStart w:id="22" w:name="_Toc382926517"/>
      <w:r>
        <w:lastRenderedPageBreak/>
        <w:t>Methodology for Developing Ex Ante Conversion Factors</w:t>
      </w:r>
      <w:bookmarkEnd w:id="22"/>
    </w:p>
    <w:p w:rsidR="000345A1" w:rsidRDefault="002F0157" w:rsidP="000345A1">
      <w:pPr>
        <w:pStyle w:val="BodyParagraph"/>
      </w:pPr>
      <w:r>
        <w:t>As described in Section 3, the PLS</w:t>
      </w:r>
      <w:r w:rsidR="00520AE2">
        <w:t xml:space="preserve"> program</w:t>
      </w:r>
      <w:r>
        <w:t xml:space="preserve"> kW load shift amount represents the peak load shift that can be expected under ASHRAE 2% weather conditions.  Therefore, in order to comply with the California DR Load Impact Protocols, this evaluation had to convert the forecasted load shift under ASHRAE 2% weather conditions to the </w:t>
      </w:r>
      <w:proofErr w:type="spellStart"/>
      <w:r>
        <w:t>ex ante</w:t>
      </w:r>
      <w:proofErr w:type="spellEnd"/>
      <w:r>
        <w:t xml:space="preserve"> load impact estimates for monthly system peak days and average weekdays under 1-in-2 and 1-in-10 weather conditions.  </w:t>
      </w:r>
      <w:r w:rsidR="000345A1">
        <w:t xml:space="preserve">One </w:t>
      </w:r>
      <w:r>
        <w:t xml:space="preserve">key </w:t>
      </w:r>
      <w:r w:rsidR="000345A1">
        <w:t xml:space="preserve">detail to note is that the ASHRAE </w:t>
      </w:r>
      <w:r>
        <w:t xml:space="preserve">2% weather </w:t>
      </w:r>
      <w:r w:rsidR="000345A1">
        <w:t>conditions are not specified as 24-hour temperature profiles in the same way that ex ante weather conditions are specified.  Instead, they are specified as a temperature threshold that is expected to be exceeded no more than 2% of hours in a given month.  They do not correspond to any</w:t>
      </w:r>
      <w:r w:rsidR="004D2F04">
        <w:t> </w:t>
      </w:r>
      <w:r w:rsidR="000345A1">
        <w:t xml:space="preserve">particular hours of the day.  </w:t>
      </w:r>
      <w:r w:rsidR="00520AE2">
        <w:t xml:space="preserve">For all unidentified projects and the identified projects for PG&amp;E and SDG&amp;E, </w:t>
      </w:r>
      <w:r w:rsidR="000345A1">
        <w:t>Nexant therefore makes the following assumption about how feasibility study engineers will calculate peak shif</w:t>
      </w:r>
      <w:r w:rsidR="00520AE2">
        <w:t xml:space="preserve">t values for incentive payments – </w:t>
      </w:r>
      <w:r w:rsidR="000345A1">
        <w:t>they will choose the hottest month among the ASHRAE</w:t>
      </w:r>
      <w:r w:rsidR="00520AE2">
        <w:t xml:space="preserve"> 2%</w:t>
      </w:r>
      <w:r w:rsidR="000345A1">
        <w:t xml:space="preserve"> conditions for the relevant geography and then assume that the 2% conditions represent the average temperature during the period of 1</w:t>
      </w:r>
      <w:r w:rsidR="004D2F04">
        <w:t>–</w:t>
      </w:r>
      <w:r w:rsidR="000345A1">
        <w:t xml:space="preserve">6 PM of the peak day, which is then used to simulate cooling load. </w:t>
      </w:r>
    </w:p>
    <w:p w:rsidR="009A3834" w:rsidRDefault="009A3834" w:rsidP="000345A1">
      <w:pPr>
        <w:pStyle w:val="BodyParagraph"/>
      </w:pPr>
      <w:r>
        <w:t xml:space="preserve">The next step is to find peak shift values for ex ante weather conditions that are consistent with </w:t>
      </w:r>
      <w:r w:rsidR="00935C56">
        <w:t xml:space="preserve">the PLS program load shift value, which are based on </w:t>
      </w:r>
      <w:r>
        <w:t xml:space="preserve">ASHRAE 2% weather conditions.  Nexant began with the assumption that the shifted load </w:t>
      </w:r>
      <w:r w:rsidR="00935C56">
        <w:t>that will be measured and verified through PLS</w:t>
      </w:r>
      <w:r>
        <w:t xml:space="preserve"> represents the full chiller load of all sites under ASHRAE 2% conditions.  An alternative possibility is that the system is designed to shift only part of the chiller load under peak conditions.  This distinction is referred to as </w:t>
      </w:r>
      <w:r w:rsidRPr="002460F1">
        <w:rPr>
          <w:i/>
        </w:rPr>
        <w:t>full</w:t>
      </w:r>
      <w:r w:rsidR="004D2F04">
        <w:rPr>
          <w:i/>
        </w:rPr>
        <w:t> </w:t>
      </w:r>
      <w:r w:rsidRPr="002460F1">
        <w:rPr>
          <w:i/>
        </w:rPr>
        <w:t>versus partial storage</w:t>
      </w:r>
      <w:r>
        <w:t xml:space="preserve">.  If the partial storage alternative were true for some sites, then the </w:t>
      </w:r>
      <w:proofErr w:type="spellStart"/>
      <w:r>
        <w:t>ex ante</w:t>
      </w:r>
      <w:proofErr w:type="spellEnd"/>
      <w:r>
        <w:t xml:space="preserve"> impact estimates for cooler weather conditions might be understated because under </w:t>
      </w:r>
      <w:proofErr w:type="spellStart"/>
      <w:r>
        <w:t>Nexant’s</w:t>
      </w:r>
      <w:proofErr w:type="spellEnd"/>
      <w:r>
        <w:t xml:space="preserve"> assumption, load shift automatically falls as temperature decreases.  Under partial storage, the load</w:t>
      </w:r>
      <w:r w:rsidR="004D2F04">
        <w:t> </w:t>
      </w:r>
      <w:r>
        <w:t>shift might be constant over some range of ex ante weather conditions</w:t>
      </w:r>
      <w:r w:rsidRPr="006A7D5C">
        <w:t xml:space="preserve"> </w:t>
      </w:r>
      <w:r>
        <w:t>at the hotter end of the conditions.  Because Nexant began with the designed peak shift as the main input, and because the designed peak shift takes place under conditions similar to the hottest ex ante conditions, the assumption is unlikely to have a significant effect on the accuracy of load impact estimates under the hottest weather conditions.  Additionally, to the degree that it is inaccurate for cooler conditions, it will tend to understate load impacts under those conditions.  With this assumption in place, Nexant focused on determining chiller load in a building without being concerned about the possibility that not all of it will be shifted.</w:t>
      </w:r>
    </w:p>
    <w:p w:rsidR="009A3834" w:rsidRPr="007933F9" w:rsidRDefault="009A3834" w:rsidP="009A3834">
      <w:pPr>
        <w:pStyle w:val="BodyParagraph"/>
      </w:pPr>
      <w:r w:rsidRPr="007933F9">
        <w:t>To find cooling load values for ex ante weather conditions that are consistent with those for ASHRAE 2%</w:t>
      </w:r>
      <w:r w:rsidR="004D2F04">
        <w:t> </w:t>
      </w:r>
      <w:r w:rsidRPr="007933F9">
        <w:t xml:space="preserve">weather conditions, </w:t>
      </w:r>
      <w:r>
        <w:t>Nexant</w:t>
      </w:r>
      <w:r w:rsidRPr="007933F9">
        <w:t xml:space="preserve"> use</w:t>
      </w:r>
      <w:r>
        <w:t>d</w:t>
      </w:r>
      <w:r w:rsidRPr="007933F9">
        <w:t xml:space="preserve"> Lawrence Berkeley Lab’s Demand Response Quick Assessment Tool (DRQAT) interface with </w:t>
      </w:r>
      <w:proofErr w:type="spellStart"/>
      <w:r w:rsidRPr="007933F9">
        <w:t>EnergyPlus</w:t>
      </w:r>
      <w:proofErr w:type="spellEnd"/>
      <w:r w:rsidRPr="007933F9">
        <w:t xml:space="preserve"> building simulation software.  This software allow</w:t>
      </w:r>
      <w:r>
        <w:t>ed</w:t>
      </w:r>
      <w:r w:rsidRPr="007933F9">
        <w:t xml:space="preserve"> </w:t>
      </w:r>
      <w:r>
        <w:t>Nexant</w:t>
      </w:r>
      <w:r w:rsidRPr="007933F9">
        <w:t xml:space="preserve"> to predict total building cooling load for a chilled water system (including both chiller and fan) based on specified weather conditions, building size, number of stories, orientation (North, South, etc.), number of windows and location.  Although </w:t>
      </w:r>
      <w:r>
        <w:t>Nexant</w:t>
      </w:r>
      <w:r w:rsidRPr="007933F9">
        <w:t xml:space="preserve"> kn</w:t>
      </w:r>
      <w:r>
        <w:t>e</w:t>
      </w:r>
      <w:r w:rsidRPr="007933F9">
        <w:t xml:space="preserve">w all </w:t>
      </w:r>
      <w:r>
        <w:t xml:space="preserve">of </w:t>
      </w:r>
      <w:r w:rsidRPr="007933F9">
        <w:t xml:space="preserve">the relevant weather conditions that </w:t>
      </w:r>
      <w:r>
        <w:t>loads need to be estimated for</w:t>
      </w:r>
      <w:r w:rsidRPr="007933F9">
        <w:t>,</w:t>
      </w:r>
      <w:r>
        <w:t xml:space="preserve"> the building characteristics were unknown (because it is</w:t>
      </w:r>
      <w:r w:rsidRPr="007933F9">
        <w:t xml:space="preserve"> </w:t>
      </w:r>
      <w:r>
        <w:t>not known</w:t>
      </w:r>
      <w:r w:rsidRPr="007933F9">
        <w:t xml:space="preserve"> which customers </w:t>
      </w:r>
      <w:r>
        <w:t>will</w:t>
      </w:r>
      <w:r w:rsidRPr="007933F9">
        <w:t xml:space="preserve"> enroll</w:t>
      </w:r>
      <w:r>
        <w:t>)</w:t>
      </w:r>
      <w:r w:rsidRPr="007933F9">
        <w:t xml:space="preserve">.  </w:t>
      </w:r>
    </w:p>
    <w:p w:rsidR="009A3834" w:rsidRDefault="009A3834" w:rsidP="009A3834">
      <w:pPr>
        <w:pStyle w:val="BodyParagraph"/>
      </w:pPr>
      <w:r w:rsidRPr="007933F9">
        <w:lastRenderedPageBreak/>
        <w:t xml:space="preserve">However, </w:t>
      </w:r>
      <w:r>
        <w:t>Nexant</w:t>
      </w:r>
      <w:r w:rsidRPr="007933F9">
        <w:t xml:space="preserve"> can demonstrate that not knowing building characteristics does not affect the accuracy of </w:t>
      </w:r>
      <w:r>
        <w:t>the</w:t>
      </w:r>
      <w:r w:rsidRPr="007933F9">
        <w:t xml:space="preserve"> load impact estimates by noting that the designed peak shift values</w:t>
      </w:r>
      <w:r>
        <w:t xml:space="preserve"> were used</w:t>
      </w:r>
      <w:r w:rsidRPr="007933F9">
        <w:t xml:space="preserve"> as </w:t>
      </w:r>
      <w:r>
        <w:t>the</w:t>
      </w:r>
      <w:r w:rsidRPr="007933F9">
        <w:t xml:space="preserve"> main anchor for load impacts. </w:t>
      </w:r>
      <w:r>
        <w:t xml:space="preserve"> Nexant</w:t>
      </w:r>
      <w:r w:rsidRPr="007933F9">
        <w:t xml:space="preserve"> only use</w:t>
      </w:r>
      <w:r>
        <w:t xml:space="preserve">d </w:t>
      </w:r>
      <w:r w:rsidRPr="007933F9">
        <w:t xml:space="preserve">the simulation software to determine what the ratios are between the cooling load under ASHRAE 2% conditions and under the </w:t>
      </w:r>
      <w:proofErr w:type="spellStart"/>
      <w:r w:rsidRPr="007933F9">
        <w:t>ex ante</w:t>
      </w:r>
      <w:proofErr w:type="spellEnd"/>
      <w:r w:rsidRPr="007933F9">
        <w:t xml:space="preserve"> weather conditions for a given building.  At no point in </w:t>
      </w:r>
      <w:r>
        <w:t>the</w:t>
      </w:r>
      <w:r w:rsidRPr="007933F9">
        <w:t xml:space="preserve"> analysis d</w:t>
      </w:r>
      <w:r>
        <w:t>id</w:t>
      </w:r>
      <w:r w:rsidRPr="007933F9">
        <w:t xml:space="preserve"> </w:t>
      </w:r>
      <w:r>
        <w:t>Nexant</w:t>
      </w:r>
      <w:r w:rsidRPr="007933F9">
        <w:t xml:space="preserve"> directly use</w:t>
      </w:r>
      <w:r>
        <w:t xml:space="preserve"> </w:t>
      </w:r>
      <w:r w:rsidRPr="007933F9">
        <w:t>simulation software to estimate the overall level of demand shifting at a given site.  Th</w:t>
      </w:r>
      <w:r>
        <w:t>e</w:t>
      </w:r>
      <w:r w:rsidRPr="007933F9">
        <w:t xml:space="preserve">se values </w:t>
      </w:r>
      <w:r>
        <w:t>we</w:t>
      </w:r>
      <w:r w:rsidRPr="007933F9">
        <w:t xml:space="preserve">re assumed in </w:t>
      </w:r>
      <w:r>
        <w:t>the</w:t>
      </w:r>
      <w:r w:rsidRPr="007933F9">
        <w:t xml:space="preserve"> enrollment forecast.  The simulation software </w:t>
      </w:r>
      <w:r>
        <w:t>wa</w:t>
      </w:r>
      <w:r w:rsidRPr="007933F9">
        <w:t>s only used to answer questions such as</w:t>
      </w:r>
      <w:r>
        <w:t>,</w:t>
      </w:r>
      <w:r w:rsidRPr="007933F9">
        <w:t xml:space="preserve"> “if I have a site that provides 100 kW of shifting under ASHRAE 2% conditions, then how much does the same site provide under July 1-in-2 conditions?”</w:t>
      </w:r>
      <w:r w:rsidR="00F951A5">
        <w:t xml:space="preserve">  The </w:t>
      </w:r>
      <w:proofErr w:type="spellStart"/>
      <w:r w:rsidR="00F951A5">
        <w:t>ex ante</w:t>
      </w:r>
      <w:proofErr w:type="spellEnd"/>
      <w:r w:rsidR="00F951A5">
        <w:t xml:space="preserve"> conversion factors answer this question.</w:t>
      </w:r>
    </w:p>
    <w:p w:rsidR="009A3834" w:rsidRPr="007F247C" w:rsidRDefault="009A3834" w:rsidP="009A3834">
      <w:pPr>
        <w:pStyle w:val="BodyParagraph"/>
        <w:sectPr w:rsidR="009A3834" w:rsidRPr="007F247C" w:rsidSect="008664B5">
          <w:footerReference w:type="default" r:id="rId40"/>
          <w:pgSz w:w="12240" w:h="15840"/>
          <w:pgMar w:top="1440" w:right="1440" w:bottom="1440" w:left="1440" w:header="720" w:footer="720" w:gutter="0"/>
          <w:cols w:space="720"/>
          <w:docGrid w:linePitch="360"/>
        </w:sectPr>
      </w:pPr>
      <w:r>
        <w:t>Ideally, we would understand exactly how the building simulation software did its calculations and use that to directly determine whether it is important to understand building characteristics, given that we are only using the tool to determine relative usage values under different conditions.  That is not currently a possibility.</w:t>
      </w:r>
      <w:r w:rsidR="00F951A5">
        <w:t xml:space="preserve">  </w:t>
      </w:r>
      <w:r>
        <w:t>Nexant</w:t>
      </w:r>
      <w:r w:rsidRPr="007933F9">
        <w:t xml:space="preserve"> provide</w:t>
      </w:r>
      <w:r>
        <w:t>s</w:t>
      </w:r>
      <w:r w:rsidRPr="007933F9">
        <w:t xml:space="preserve"> evidence </w:t>
      </w:r>
      <w:r>
        <w:t xml:space="preserve">that it is not necessary to know the building characteristics </w:t>
      </w:r>
      <w:r w:rsidRPr="007933F9">
        <w:t xml:space="preserve">in Table </w:t>
      </w:r>
      <w:r w:rsidR="004D2F04">
        <w:t>A</w:t>
      </w:r>
      <w:r w:rsidRPr="007933F9">
        <w:t>-2</w:t>
      </w:r>
      <w:r>
        <w:t>, which shows</w:t>
      </w:r>
      <w:r w:rsidRPr="007933F9">
        <w:t xml:space="preserve"> that relative usage values across different weather conditions are basically insensitive to building characteristics.  The table shows the ratio of average chiller load from 1</w:t>
      </w:r>
      <w:r w:rsidR="004D2F04">
        <w:t>–</w:t>
      </w:r>
      <w:r w:rsidRPr="007933F9">
        <w:t xml:space="preserve">6 PM between the indicated temperature profile and August 1-in-10 peak conditions for a variety of building characteristics (which are provided in more detail in Table </w:t>
      </w:r>
      <w:r w:rsidR="004D2F04">
        <w:t>A</w:t>
      </w:r>
      <w:r w:rsidRPr="007933F9">
        <w:t>-3).  The point of the table</w:t>
      </w:r>
      <w:r w:rsidR="004D2F04">
        <w:t> </w:t>
      </w:r>
      <w:r w:rsidRPr="007933F9">
        <w:t>is that the ratio for a given ex ante condition set hardly changes as the building characteristics vary substantially.  For example, the ratio of the average chiller load under September 1-in-10 conditions to the average chiller load under August 1-in-10 conditions only varies from 0.89 to 0.91 whether the building is half its original size or twice its original size, whether it has its original window</w:t>
      </w:r>
      <w:r>
        <w:t>-</w:t>
      </w:r>
      <w:r w:rsidRPr="007933F9">
        <w:t>to</w:t>
      </w:r>
      <w:r>
        <w:t>-</w:t>
      </w:r>
      <w:r w:rsidRPr="007933F9">
        <w:t>wall ratio or</w:t>
      </w:r>
      <w:r w:rsidR="004D2F04">
        <w:t> </w:t>
      </w:r>
      <w:r w:rsidRPr="007933F9">
        <w:t xml:space="preserve">twice that ratio, or whether it has one story or four stories.  This suggests that relative usage levels in the tool are determined primarily by temperature conditions, with the building characteristics driving the overall level of usage.  There is only one major deviation from this pattern, under May 1-in-2 conditions, where the values vary from 0.82 to 0.70.  Given the uncertainty associated with the other inputs into </w:t>
      </w:r>
      <w:r>
        <w:t>the</w:t>
      </w:r>
      <w:r w:rsidRPr="007933F9">
        <w:t xml:space="preserve"> estimates, this small inconsistency seems minor.</w:t>
      </w:r>
    </w:p>
    <w:p w:rsidR="009A3834" w:rsidRPr="00D5138E" w:rsidRDefault="009A3834" w:rsidP="009A3834">
      <w:pPr>
        <w:pStyle w:val="TableFigureCaption"/>
      </w:pPr>
      <w:r w:rsidRPr="00D5138E">
        <w:lastRenderedPageBreak/>
        <w:t xml:space="preserve">Table </w:t>
      </w:r>
      <w:r w:rsidR="004D2F04">
        <w:t>A</w:t>
      </w:r>
      <w:r w:rsidRPr="00D5138E">
        <w:t>-</w:t>
      </w:r>
      <w:r>
        <w:t>2:</w:t>
      </w:r>
      <w:r w:rsidRPr="00D5138E">
        <w:t xml:space="preserve"> </w:t>
      </w:r>
      <w:r w:rsidR="00F951A5">
        <w:t>Conversion Factors</w:t>
      </w:r>
      <w:r w:rsidRPr="00D5138E">
        <w:t xml:space="preserve"> for </w:t>
      </w:r>
      <w:r>
        <w:t>a</w:t>
      </w:r>
      <w:r w:rsidRPr="00D5138E">
        <w:t xml:space="preserve"> Variety of Building Characteristics Under Each Set of Ex Ante </w:t>
      </w:r>
      <w:r>
        <w:t xml:space="preserve">Peak </w:t>
      </w:r>
      <w:r w:rsidRPr="00D5138E">
        <w:t>Weather Conditions</w:t>
      </w:r>
    </w:p>
    <w:tbl>
      <w:tblPr>
        <w:tblW w:w="5061" w:type="pct"/>
        <w:jc w:val="center"/>
        <w:tblCellMar>
          <w:left w:w="0" w:type="dxa"/>
          <w:right w:w="0" w:type="dxa"/>
        </w:tblCellMar>
        <w:tblLook w:val="04A0" w:firstRow="1" w:lastRow="0" w:firstColumn="1" w:lastColumn="0" w:noHBand="0" w:noVBand="1"/>
      </w:tblPr>
      <w:tblGrid>
        <w:gridCol w:w="1571"/>
        <w:gridCol w:w="1014"/>
        <w:gridCol w:w="848"/>
        <w:gridCol w:w="849"/>
        <w:gridCol w:w="849"/>
        <w:gridCol w:w="854"/>
        <w:gridCol w:w="854"/>
        <w:gridCol w:w="1131"/>
        <w:gridCol w:w="798"/>
        <w:gridCol w:w="854"/>
        <w:gridCol w:w="854"/>
        <w:gridCol w:w="854"/>
        <w:gridCol w:w="854"/>
        <w:gridCol w:w="1153"/>
      </w:tblGrid>
      <w:tr w:rsidR="009A3834" w:rsidRPr="00D5138E" w:rsidTr="00512341">
        <w:trPr>
          <w:trHeight w:val="600"/>
          <w:jc w:val="center"/>
        </w:trPr>
        <w:tc>
          <w:tcPr>
            <w:tcW w:w="596" w:type="pct"/>
            <w:tcBorders>
              <w:top w:val="single" w:sz="8" w:space="0" w:color="auto"/>
              <w:left w:val="single" w:sz="8" w:space="0" w:color="auto"/>
              <w:bottom w:val="single" w:sz="8" w:space="0" w:color="auto"/>
              <w:right w:val="single" w:sz="8" w:space="0" w:color="FFFBF0"/>
            </w:tcBorders>
            <w:shd w:val="clear" w:color="auto" w:fill="1F497D" w:themeFill="text2"/>
            <w:noWrap/>
            <w:tcMar>
              <w:top w:w="0" w:type="dxa"/>
              <w:left w:w="108" w:type="dxa"/>
              <w:bottom w:w="0" w:type="dxa"/>
              <w:right w:w="108" w:type="dxa"/>
            </w:tcMar>
            <w:vAlign w:val="center"/>
            <w:hideMark/>
          </w:tcPr>
          <w:p w:rsidR="009A3834" w:rsidRPr="00D5138E" w:rsidRDefault="009A3834" w:rsidP="00512341">
            <w:pPr>
              <w:pStyle w:val="TableHeader"/>
            </w:pPr>
          </w:p>
        </w:tc>
        <w:tc>
          <w:tcPr>
            <w:tcW w:w="325" w:type="pct"/>
            <w:tcBorders>
              <w:top w:val="single" w:sz="8" w:space="0" w:color="auto"/>
              <w:left w:val="nil"/>
              <w:bottom w:val="single" w:sz="8" w:space="0" w:color="auto"/>
              <w:right w:val="single" w:sz="8" w:space="0" w:color="FFFBF0"/>
            </w:tcBorders>
            <w:shd w:val="clear" w:color="auto" w:fill="1F497D" w:themeFill="text2"/>
            <w:tcMar>
              <w:top w:w="0" w:type="dxa"/>
              <w:left w:w="108" w:type="dxa"/>
              <w:bottom w:w="0" w:type="dxa"/>
              <w:right w:w="108" w:type="dxa"/>
            </w:tcMar>
            <w:vAlign w:val="center"/>
            <w:hideMark/>
          </w:tcPr>
          <w:p w:rsidR="009A3834" w:rsidRPr="00D5138E" w:rsidRDefault="009A3834" w:rsidP="00512341">
            <w:pPr>
              <w:pStyle w:val="TableHeader"/>
            </w:pPr>
            <w:r w:rsidRPr="00D5138E">
              <w:t>Baseline</w:t>
            </w:r>
            <w:r>
              <w:t>*</w:t>
            </w:r>
          </w:p>
        </w:tc>
        <w:tc>
          <w:tcPr>
            <w:tcW w:w="325" w:type="pct"/>
            <w:tcBorders>
              <w:top w:val="single" w:sz="8" w:space="0" w:color="auto"/>
              <w:left w:val="nil"/>
              <w:bottom w:val="single" w:sz="8" w:space="0" w:color="auto"/>
              <w:right w:val="single" w:sz="8" w:space="0" w:color="FFFBF0"/>
            </w:tcBorders>
            <w:shd w:val="clear" w:color="auto" w:fill="1F497D" w:themeFill="text2"/>
            <w:tcMar>
              <w:top w:w="0" w:type="dxa"/>
              <w:left w:w="108" w:type="dxa"/>
              <w:bottom w:w="0" w:type="dxa"/>
              <w:right w:w="108" w:type="dxa"/>
            </w:tcMar>
            <w:vAlign w:val="center"/>
            <w:hideMark/>
          </w:tcPr>
          <w:p w:rsidR="009A3834" w:rsidRPr="00D5138E" w:rsidRDefault="009A3834" w:rsidP="00512341">
            <w:pPr>
              <w:pStyle w:val="TableHeader"/>
            </w:pPr>
            <w:r w:rsidRPr="00D5138E">
              <w:t>1 in 2 Typical</w:t>
            </w:r>
          </w:p>
        </w:tc>
        <w:tc>
          <w:tcPr>
            <w:tcW w:w="325" w:type="pct"/>
            <w:tcBorders>
              <w:top w:val="single" w:sz="8" w:space="0" w:color="auto"/>
              <w:left w:val="nil"/>
              <w:bottom w:val="single" w:sz="8" w:space="0" w:color="auto"/>
              <w:right w:val="single" w:sz="8" w:space="0" w:color="FFFBF0"/>
            </w:tcBorders>
            <w:shd w:val="clear" w:color="auto" w:fill="1F497D" w:themeFill="text2"/>
            <w:tcMar>
              <w:top w:w="0" w:type="dxa"/>
              <w:left w:w="108" w:type="dxa"/>
              <w:bottom w:w="0" w:type="dxa"/>
              <w:right w:w="108" w:type="dxa"/>
            </w:tcMar>
            <w:vAlign w:val="center"/>
            <w:hideMark/>
          </w:tcPr>
          <w:p w:rsidR="009A3834" w:rsidRPr="00D5138E" w:rsidRDefault="009A3834" w:rsidP="00512341">
            <w:pPr>
              <w:pStyle w:val="TableHeader"/>
            </w:pPr>
            <w:r w:rsidRPr="00D5138E">
              <w:t>1 in 2 May</w:t>
            </w:r>
          </w:p>
        </w:tc>
        <w:tc>
          <w:tcPr>
            <w:tcW w:w="325" w:type="pct"/>
            <w:tcBorders>
              <w:top w:val="single" w:sz="8" w:space="0" w:color="auto"/>
              <w:left w:val="nil"/>
              <w:bottom w:val="single" w:sz="8" w:space="0" w:color="auto"/>
              <w:right w:val="single" w:sz="8" w:space="0" w:color="FFFBF0"/>
            </w:tcBorders>
            <w:shd w:val="clear" w:color="auto" w:fill="1F497D" w:themeFill="text2"/>
            <w:tcMar>
              <w:top w:w="0" w:type="dxa"/>
              <w:left w:w="108" w:type="dxa"/>
              <w:bottom w:w="0" w:type="dxa"/>
              <w:right w:w="108" w:type="dxa"/>
            </w:tcMar>
            <w:vAlign w:val="center"/>
            <w:hideMark/>
          </w:tcPr>
          <w:p w:rsidR="009A3834" w:rsidRPr="00D5138E" w:rsidRDefault="009A3834" w:rsidP="00512341">
            <w:pPr>
              <w:pStyle w:val="TableHeader"/>
            </w:pPr>
            <w:r w:rsidRPr="00D5138E">
              <w:t>1 in 2 June</w:t>
            </w:r>
          </w:p>
        </w:tc>
        <w:tc>
          <w:tcPr>
            <w:tcW w:w="327" w:type="pct"/>
            <w:tcBorders>
              <w:top w:val="single" w:sz="8" w:space="0" w:color="auto"/>
              <w:left w:val="nil"/>
              <w:bottom w:val="single" w:sz="8" w:space="0" w:color="auto"/>
              <w:right w:val="single" w:sz="8" w:space="0" w:color="FFFBF0"/>
            </w:tcBorders>
            <w:shd w:val="clear" w:color="auto" w:fill="1F497D" w:themeFill="text2"/>
            <w:tcMar>
              <w:top w:w="0" w:type="dxa"/>
              <w:left w:w="108" w:type="dxa"/>
              <w:bottom w:w="0" w:type="dxa"/>
              <w:right w:w="108" w:type="dxa"/>
            </w:tcMar>
            <w:vAlign w:val="center"/>
            <w:hideMark/>
          </w:tcPr>
          <w:p w:rsidR="009A3834" w:rsidRPr="00D5138E" w:rsidRDefault="009A3834" w:rsidP="00512341">
            <w:pPr>
              <w:pStyle w:val="TableHeader"/>
            </w:pPr>
            <w:r w:rsidRPr="00D5138E">
              <w:t>1 in 2 July</w:t>
            </w:r>
          </w:p>
        </w:tc>
        <w:tc>
          <w:tcPr>
            <w:tcW w:w="327" w:type="pct"/>
            <w:tcBorders>
              <w:top w:val="single" w:sz="8" w:space="0" w:color="auto"/>
              <w:left w:val="nil"/>
              <w:bottom w:val="single" w:sz="8" w:space="0" w:color="auto"/>
              <w:right w:val="single" w:sz="8" w:space="0" w:color="FFFBF0"/>
            </w:tcBorders>
            <w:shd w:val="clear" w:color="auto" w:fill="1F497D" w:themeFill="text2"/>
            <w:tcMar>
              <w:top w:w="0" w:type="dxa"/>
              <w:left w:w="108" w:type="dxa"/>
              <w:bottom w:w="0" w:type="dxa"/>
              <w:right w:w="108" w:type="dxa"/>
            </w:tcMar>
            <w:vAlign w:val="center"/>
            <w:hideMark/>
          </w:tcPr>
          <w:p w:rsidR="009A3834" w:rsidRPr="00D5138E" w:rsidRDefault="009A3834" w:rsidP="00512341">
            <w:pPr>
              <w:pStyle w:val="TableHeader"/>
            </w:pPr>
            <w:r w:rsidRPr="00D5138E">
              <w:t>1 in 2 August</w:t>
            </w:r>
          </w:p>
        </w:tc>
        <w:tc>
          <w:tcPr>
            <w:tcW w:w="424" w:type="pct"/>
            <w:tcBorders>
              <w:top w:val="single" w:sz="8" w:space="0" w:color="auto"/>
              <w:left w:val="nil"/>
              <w:bottom w:val="single" w:sz="8" w:space="0" w:color="auto"/>
              <w:right w:val="single" w:sz="8" w:space="0" w:color="FFFBF0"/>
            </w:tcBorders>
            <w:shd w:val="clear" w:color="auto" w:fill="1F497D" w:themeFill="text2"/>
            <w:tcMar>
              <w:top w:w="0" w:type="dxa"/>
              <w:left w:w="108" w:type="dxa"/>
              <w:bottom w:w="0" w:type="dxa"/>
              <w:right w:w="108" w:type="dxa"/>
            </w:tcMar>
            <w:vAlign w:val="center"/>
            <w:hideMark/>
          </w:tcPr>
          <w:p w:rsidR="009A3834" w:rsidRPr="00D5138E" w:rsidRDefault="009A3834" w:rsidP="00512341">
            <w:pPr>
              <w:pStyle w:val="TableHeader"/>
            </w:pPr>
            <w:r w:rsidRPr="00D5138E">
              <w:t>1 in 2 September</w:t>
            </w:r>
          </w:p>
        </w:tc>
        <w:tc>
          <w:tcPr>
            <w:tcW w:w="279" w:type="pct"/>
            <w:tcBorders>
              <w:top w:val="single" w:sz="8" w:space="0" w:color="auto"/>
              <w:left w:val="nil"/>
              <w:bottom w:val="single" w:sz="8" w:space="0" w:color="auto"/>
              <w:right w:val="single" w:sz="8" w:space="0" w:color="FFFBF0"/>
            </w:tcBorders>
            <w:shd w:val="clear" w:color="auto" w:fill="1F497D" w:themeFill="text2"/>
            <w:tcMar>
              <w:top w:w="0" w:type="dxa"/>
              <w:left w:w="108" w:type="dxa"/>
              <w:bottom w:w="0" w:type="dxa"/>
              <w:right w:w="108" w:type="dxa"/>
            </w:tcMar>
            <w:vAlign w:val="center"/>
            <w:hideMark/>
          </w:tcPr>
          <w:p w:rsidR="009A3834" w:rsidRPr="00D5138E" w:rsidRDefault="009A3834" w:rsidP="00512341">
            <w:pPr>
              <w:pStyle w:val="TableHeader"/>
            </w:pPr>
            <w:r w:rsidRPr="00D5138E">
              <w:t>1 in 10 Typical</w:t>
            </w:r>
          </w:p>
        </w:tc>
        <w:tc>
          <w:tcPr>
            <w:tcW w:w="327" w:type="pct"/>
            <w:tcBorders>
              <w:top w:val="single" w:sz="8" w:space="0" w:color="auto"/>
              <w:left w:val="nil"/>
              <w:bottom w:val="single" w:sz="8" w:space="0" w:color="auto"/>
              <w:right w:val="single" w:sz="8" w:space="0" w:color="FFFBF0"/>
            </w:tcBorders>
            <w:shd w:val="clear" w:color="auto" w:fill="1F497D" w:themeFill="text2"/>
            <w:tcMar>
              <w:top w:w="0" w:type="dxa"/>
              <w:left w:w="108" w:type="dxa"/>
              <w:bottom w:w="0" w:type="dxa"/>
              <w:right w:w="108" w:type="dxa"/>
            </w:tcMar>
            <w:vAlign w:val="center"/>
            <w:hideMark/>
          </w:tcPr>
          <w:p w:rsidR="009A3834" w:rsidRPr="00D5138E" w:rsidRDefault="009A3834" w:rsidP="00512341">
            <w:pPr>
              <w:pStyle w:val="TableHeader"/>
            </w:pPr>
            <w:r w:rsidRPr="00D5138E">
              <w:t>1 in 10 May</w:t>
            </w:r>
          </w:p>
        </w:tc>
        <w:tc>
          <w:tcPr>
            <w:tcW w:w="327" w:type="pct"/>
            <w:tcBorders>
              <w:top w:val="single" w:sz="8" w:space="0" w:color="auto"/>
              <w:left w:val="nil"/>
              <w:bottom w:val="single" w:sz="8" w:space="0" w:color="auto"/>
              <w:right w:val="single" w:sz="8" w:space="0" w:color="FFFBF0"/>
            </w:tcBorders>
            <w:shd w:val="clear" w:color="auto" w:fill="1F497D" w:themeFill="text2"/>
            <w:tcMar>
              <w:top w:w="0" w:type="dxa"/>
              <w:left w:w="108" w:type="dxa"/>
              <w:bottom w:w="0" w:type="dxa"/>
              <w:right w:w="108" w:type="dxa"/>
            </w:tcMar>
            <w:vAlign w:val="center"/>
            <w:hideMark/>
          </w:tcPr>
          <w:p w:rsidR="009A3834" w:rsidRPr="00D5138E" w:rsidRDefault="009A3834" w:rsidP="00512341">
            <w:pPr>
              <w:pStyle w:val="TableHeader"/>
            </w:pPr>
            <w:r w:rsidRPr="00D5138E">
              <w:t>1 in 10 June</w:t>
            </w:r>
          </w:p>
        </w:tc>
        <w:tc>
          <w:tcPr>
            <w:tcW w:w="327" w:type="pct"/>
            <w:tcBorders>
              <w:top w:val="single" w:sz="8" w:space="0" w:color="auto"/>
              <w:left w:val="nil"/>
              <w:bottom w:val="single" w:sz="8" w:space="0" w:color="auto"/>
              <w:right w:val="single" w:sz="8" w:space="0" w:color="FFFBF0"/>
            </w:tcBorders>
            <w:shd w:val="clear" w:color="auto" w:fill="1F497D" w:themeFill="text2"/>
            <w:tcMar>
              <w:top w:w="0" w:type="dxa"/>
              <w:left w:w="108" w:type="dxa"/>
              <w:bottom w:w="0" w:type="dxa"/>
              <w:right w:w="108" w:type="dxa"/>
            </w:tcMar>
            <w:vAlign w:val="center"/>
            <w:hideMark/>
          </w:tcPr>
          <w:p w:rsidR="009A3834" w:rsidRPr="00D5138E" w:rsidRDefault="009A3834" w:rsidP="00512341">
            <w:pPr>
              <w:pStyle w:val="TableHeader"/>
            </w:pPr>
            <w:r w:rsidRPr="00D5138E">
              <w:t>1 in 10 July</w:t>
            </w:r>
          </w:p>
        </w:tc>
        <w:tc>
          <w:tcPr>
            <w:tcW w:w="327" w:type="pct"/>
            <w:tcBorders>
              <w:top w:val="single" w:sz="8" w:space="0" w:color="auto"/>
              <w:left w:val="nil"/>
              <w:bottom w:val="single" w:sz="8" w:space="0" w:color="auto"/>
              <w:right w:val="single" w:sz="8" w:space="0" w:color="FFFBF0"/>
            </w:tcBorders>
            <w:shd w:val="clear" w:color="auto" w:fill="1F497D" w:themeFill="text2"/>
            <w:tcMar>
              <w:top w:w="0" w:type="dxa"/>
              <w:left w:w="108" w:type="dxa"/>
              <w:bottom w:w="0" w:type="dxa"/>
              <w:right w:w="108" w:type="dxa"/>
            </w:tcMar>
            <w:vAlign w:val="center"/>
            <w:hideMark/>
          </w:tcPr>
          <w:p w:rsidR="009A3834" w:rsidRPr="00D5138E" w:rsidRDefault="009A3834" w:rsidP="00512341">
            <w:pPr>
              <w:pStyle w:val="TableHeader"/>
            </w:pPr>
            <w:r w:rsidRPr="00D5138E">
              <w:t>1 in 10 August</w:t>
            </w:r>
          </w:p>
        </w:tc>
        <w:tc>
          <w:tcPr>
            <w:tcW w:w="441" w:type="pct"/>
            <w:tcBorders>
              <w:top w:val="single" w:sz="8" w:space="0" w:color="auto"/>
              <w:left w:val="nil"/>
              <w:bottom w:val="single" w:sz="8" w:space="0" w:color="auto"/>
              <w:right w:val="single" w:sz="8" w:space="0" w:color="auto"/>
            </w:tcBorders>
            <w:shd w:val="clear" w:color="auto" w:fill="1F497D" w:themeFill="text2"/>
            <w:tcMar>
              <w:top w:w="0" w:type="dxa"/>
              <w:left w:w="108" w:type="dxa"/>
              <w:bottom w:w="0" w:type="dxa"/>
              <w:right w:w="108" w:type="dxa"/>
            </w:tcMar>
            <w:vAlign w:val="center"/>
            <w:hideMark/>
          </w:tcPr>
          <w:p w:rsidR="009A3834" w:rsidRPr="00D5138E" w:rsidRDefault="009A3834" w:rsidP="00512341">
            <w:pPr>
              <w:pStyle w:val="TableHeader"/>
            </w:pPr>
            <w:r w:rsidRPr="00D5138E">
              <w:t>1 in 10 September</w:t>
            </w:r>
          </w:p>
        </w:tc>
      </w:tr>
      <w:tr w:rsidR="009A3834" w:rsidRPr="00D5138E" w:rsidTr="002F0D62">
        <w:trPr>
          <w:trHeight w:val="600"/>
          <w:jc w:val="center"/>
        </w:trPr>
        <w:tc>
          <w:tcPr>
            <w:tcW w:w="596"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Original Building</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0.46</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0.92</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0.80</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0.86</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0.98</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0.92</w:t>
            </w:r>
          </w:p>
        </w:tc>
        <w:tc>
          <w:tcPr>
            <w:tcW w:w="42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0.93</w:t>
            </w:r>
          </w:p>
        </w:tc>
        <w:tc>
          <w:tcPr>
            <w:tcW w:w="27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0.97</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0.90</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0.93</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1.02</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1.00</w:t>
            </w:r>
          </w:p>
        </w:tc>
        <w:tc>
          <w:tcPr>
            <w:tcW w:w="44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0.90</w:t>
            </w:r>
          </w:p>
        </w:tc>
      </w:tr>
      <w:tr w:rsidR="009A3834" w:rsidRPr="00D5138E" w:rsidTr="002F0D62">
        <w:trPr>
          <w:trHeight w:val="600"/>
          <w:jc w:val="center"/>
        </w:trPr>
        <w:tc>
          <w:tcPr>
            <w:tcW w:w="596"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Twice the Size</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0.48</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0.92</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0.80</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0.87</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0.98</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0.91</w:t>
            </w:r>
          </w:p>
        </w:tc>
        <w:tc>
          <w:tcPr>
            <w:tcW w:w="42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0.95</w:t>
            </w:r>
          </w:p>
        </w:tc>
        <w:tc>
          <w:tcPr>
            <w:tcW w:w="27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0.98</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0.91</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0.95</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1.01</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1.00</w:t>
            </w:r>
          </w:p>
        </w:tc>
        <w:tc>
          <w:tcPr>
            <w:tcW w:w="44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0.91</w:t>
            </w:r>
          </w:p>
        </w:tc>
      </w:tr>
      <w:tr w:rsidR="009A3834" w:rsidRPr="00D5138E" w:rsidTr="002F0D62">
        <w:trPr>
          <w:trHeight w:val="600"/>
          <w:jc w:val="center"/>
        </w:trPr>
        <w:tc>
          <w:tcPr>
            <w:tcW w:w="596"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Half the Size</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0.44</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0.92</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0.82</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0.87</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0.96</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0.92</w:t>
            </w:r>
          </w:p>
        </w:tc>
        <w:tc>
          <w:tcPr>
            <w:tcW w:w="42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0.93</w:t>
            </w:r>
          </w:p>
        </w:tc>
        <w:tc>
          <w:tcPr>
            <w:tcW w:w="27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0.96</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0.90</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0.93</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1.01</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1.00</w:t>
            </w:r>
          </w:p>
        </w:tc>
        <w:tc>
          <w:tcPr>
            <w:tcW w:w="44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0.90</w:t>
            </w:r>
          </w:p>
        </w:tc>
      </w:tr>
      <w:tr w:rsidR="009A3834" w:rsidRPr="00D5138E" w:rsidTr="002F0D62">
        <w:trPr>
          <w:trHeight w:val="600"/>
          <w:jc w:val="center"/>
        </w:trPr>
        <w:tc>
          <w:tcPr>
            <w:tcW w:w="59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A3834" w:rsidRPr="007933F9" w:rsidRDefault="009A3834" w:rsidP="00512341">
            <w:pPr>
              <w:pStyle w:val="TableText"/>
            </w:pPr>
            <w:r w:rsidRPr="007933F9">
              <w:t>Four Floors</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0.46</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0.92</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0.70</w:t>
            </w:r>
          </w:p>
        </w:tc>
        <w:tc>
          <w:tcPr>
            <w:tcW w:w="325"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0.83</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0.99</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0.91</w:t>
            </w:r>
          </w:p>
        </w:tc>
        <w:tc>
          <w:tcPr>
            <w:tcW w:w="424"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0.94</w:t>
            </w:r>
          </w:p>
        </w:tc>
        <w:tc>
          <w:tcPr>
            <w:tcW w:w="279"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0.96</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0.89</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0.93</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1.02</w:t>
            </w:r>
          </w:p>
        </w:tc>
        <w:tc>
          <w:tcPr>
            <w:tcW w:w="327"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1.00</w:t>
            </w:r>
          </w:p>
        </w:tc>
        <w:tc>
          <w:tcPr>
            <w:tcW w:w="44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0.89</w:t>
            </w:r>
          </w:p>
        </w:tc>
      </w:tr>
      <w:tr w:rsidR="009A3834" w:rsidRPr="00D5138E" w:rsidTr="002F0D62">
        <w:trPr>
          <w:trHeight w:val="600"/>
          <w:jc w:val="center"/>
        </w:trPr>
        <w:tc>
          <w:tcPr>
            <w:tcW w:w="596" w:type="pct"/>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9A3834" w:rsidRPr="007933F9" w:rsidRDefault="009A3834" w:rsidP="00512341">
            <w:pPr>
              <w:pStyle w:val="TableText"/>
            </w:pPr>
            <w:r w:rsidRPr="007933F9">
              <w:t>Twice the Window to Wall Ratio</w:t>
            </w:r>
          </w:p>
        </w:tc>
        <w:tc>
          <w:tcPr>
            <w:tcW w:w="325"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0.45</w:t>
            </w:r>
          </w:p>
        </w:tc>
        <w:tc>
          <w:tcPr>
            <w:tcW w:w="325"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0.92</w:t>
            </w:r>
          </w:p>
        </w:tc>
        <w:tc>
          <w:tcPr>
            <w:tcW w:w="325"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0.80</w:t>
            </w:r>
          </w:p>
        </w:tc>
        <w:tc>
          <w:tcPr>
            <w:tcW w:w="325"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0.87</w:t>
            </w:r>
          </w:p>
        </w:tc>
        <w:tc>
          <w:tcPr>
            <w:tcW w:w="327"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0.98</w:t>
            </w:r>
          </w:p>
        </w:tc>
        <w:tc>
          <w:tcPr>
            <w:tcW w:w="327"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0.92</w:t>
            </w:r>
          </w:p>
        </w:tc>
        <w:tc>
          <w:tcPr>
            <w:tcW w:w="424"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0.93</w:t>
            </w:r>
          </w:p>
        </w:tc>
        <w:tc>
          <w:tcPr>
            <w:tcW w:w="279"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0.97</w:t>
            </w:r>
          </w:p>
        </w:tc>
        <w:tc>
          <w:tcPr>
            <w:tcW w:w="327"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0.90</w:t>
            </w:r>
          </w:p>
        </w:tc>
        <w:tc>
          <w:tcPr>
            <w:tcW w:w="327"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0.93</w:t>
            </w:r>
          </w:p>
        </w:tc>
        <w:tc>
          <w:tcPr>
            <w:tcW w:w="327"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1.02</w:t>
            </w:r>
          </w:p>
        </w:tc>
        <w:tc>
          <w:tcPr>
            <w:tcW w:w="327"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1.00</w:t>
            </w:r>
          </w:p>
        </w:tc>
        <w:tc>
          <w:tcPr>
            <w:tcW w:w="441" w:type="pct"/>
            <w:tcBorders>
              <w:top w:val="nil"/>
              <w:left w:val="nil"/>
              <w:bottom w:val="single" w:sz="4" w:space="0" w:color="auto"/>
              <w:right w:val="single" w:sz="8" w:space="0" w:color="auto"/>
            </w:tcBorders>
            <w:noWrap/>
            <w:tcMar>
              <w:top w:w="0" w:type="dxa"/>
              <w:left w:w="108" w:type="dxa"/>
              <w:bottom w:w="0" w:type="dxa"/>
              <w:right w:w="108" w:type="dxa"/>
            </w:tcMar>
            <w:vAlign w:val="center"/>
            <w:hideMark/>
          </w:tcPr>
          <w:p w:rsidR="009A3834" w:rsidRPr="007933F9" w:rsidRDefault="009A3834" w:rsidP="00512341">
            <w:pPr>
              <w:pStyle w:val="TableText"/>
            </w:pPr>
            <w:r w:rsidRPr="007933F9">
              <w:t>0.90</w:t>
            </w:r>
          </w:p>
        </w:tc>
      </w:tr>
      <w:tr w:rsidR="009A3834" w:rsidTr="002F0D62">
        <w:trPr>
          <w:trHeight w:val="300"/>
          <w:jc w:val="center"/>
        </w:trPr>
        <w:tc>
          <w:tcPr>
            <w:tcW w:w="5000" w:type="pct"/>
            <w:gridSpan w:val="14"/>
            <w:tcBorders>
              <w:top w:val="single" w:sz="4" w:space="0" w:color="auto"/>
              <w:left w:val="single" w:sz="4" w:space="0" w:color="FFFFFF" w:themeColor="background1"/>
              <w:bottom w:val="single" w:sz="4" w:space="0" w:color="FFFFFF" w:themeColor="background1"/>
              <w:right w:val="single" w:sz="4" w:space="0" w:color="FFFFFF" w:themeColor="background1"/>
            </w:tcBorders>
            <w:noWrap/>
            <w:tcMar>
              <w:top w:w="0" w:type="dxa"/>
              <w:left w:w="108" w:type="dxa"/>
              <w:bottom w:w="0" w:type="dxa"/>
              <w:right w:w="108" w:type="dxa"/>
            </w:tcMar>
            <w:vAlign w:val="center"/>
            <w:hideMark/>
          </w:tcPr>
          <w:p w:rsidR="009A3834" w:rsidRDefault="00F951A5" w:rsidP="00512341">
            <w:pPr>
              <w:pStyle w:val="Footnote"/>
            </w:pPr>
            <w:r>
              <w:t>Ex ante conversion factor</w:t>
            </w:r>
            <w:r w:rsidR="009A3834">
              <w:t xml:space="preserve"> = average kWh usage between 1–6 PM divided by average kWh usage during 1–6 PM on a typical August 1-in-10 day.</w:t>
            </w:r>
          </w:p>
          <w:p w:rsidR="009A3834" w:rsidRDefault="009A3834" w:rsidP="00512341">
            <w:pPr>
              <w:pStyle w:val="Footnote"/>
              <w:rPr>
                <w:rFonts w:ascii="Calibri" w:hAnsi="Calibri" w:cs="Calibri"/>
              </w:rPr>
            </w:pPr>
            <w:r>
              <w:t xml:space="preserve">*Baseline is the default temperature profile on July 1 for California Climate Zone 12 in the DRQAT.  It is not a monthly peak day. </w:t>
            </w:r>
          </w:p>
        </w:tc>
      </w:tr>
    </w:tbl>
    <w:p w:rsidR="009A3834" w:rsidRDefault="009A3834" w:rsidP="009A3834">
      <w:pPr>
        <w:pStyle w:val="TableFigureCaption"/>
      </w:pPr>
      <w:r w:rsidRPr="0074703C">
        <w:t xml:space="preserve">Table </w:t>
      </w:r>
      <w:r w:rsidR="004D2F04">
        <w:t>A</w:t>
      </w:r>
      <w:r w:rsidRPr="0074703C">
        <w:t>-3</w:t>
      </w:r>
      <w:r w:rsidR="00F951A5">
        <w:t>:</w:t>
      </w:r>
      <w:r w:rsidRPr="0074703C">
        <w:t xml:space="preserve"> Characteristics of Buildings in Table 2-2</w:t>
      </w:r>
    </w:p>
    <w:tbl>
      <w:tblPr>
        <w:tblW w:w="5000" w:type="pct"/>
        <w:jc w:val="center"/>
        <w:tblCellMar>
          <w:left w:w="0" w:type="dxa"/>
          <w:right w:w="0" w:type="dxa"/>
        </w:tblCellMar>
        <w:tblLook w:val="04A0" w:firstRow="1" w:lastRow="0" w:firstColumn="1" w:lastColumn="0" w:noHBand="0" w:noVBand="1"/>
      </w:tblPr>
      <w:tblGrid>
        <w:gridCol w:w="2358"/>
        <w:gridCol w:w="1241"/>
        <w:gridCol w:w="1352"/>
        <w:gridCol w:w="1465"/>
        <w:gridCol w:w="1352"/>
        <w:gridCol w:w="1352"/>
        <w:gridCol w:w="1352"/>
        <w:gridCol w:w="1352"/>
        <w:gridCol w:w="1352"/>
      </w:tblGrid>
      <w:tr w:rsidR="009A3834" w:rsidTr="002F0D62">
        <w:trPr>
          <w:trHeight w:val="300"/>
          <w:jc w:val="center"/>
        </w:trPr>
        <w:tc>
          <w:tcPr>
            <w:tcW w:w="895" w:type="pct"/>
            <w:vMerge w:val="restart"/>
            <w:tcBorders>
              <w:top w:val="single" w:sz="8" w:space="0" w:color="auto"/>
              <w:left w:val="single" w:sz="8" w:space="0" w:color="auto"/>
              <w:bottom w:val="single" w:sz="8" w:space="0" w:color="000000"/>
              <w:right w:val="single" w:sz="8" w:space="0" w:color="FFFBF0"/>
            </w:tcBorders>
            <w:shd w:val="clear" w:color="auto" w:fill="1F497D"/>
            <w:tcMar>
              <w:top w:w="0" w:type="dxa"/>
              <w:left w:w="108" w:type="dxa"/>
              <w:bottom w:w="0" w:type="dxa"/>
              <w:right w:w="108" w:type="dxa"/>
            </w:tcMar>
            <w:vAlign w:val="center"/>
            <w:hideMark/>
          </w:tcPr>
          <w:p w:rsidR="009A3834" w:rsidRDefault="009A3834" w:rsidP="00512341">
            <w:pPr>
              <w:pStyle w:val="TableHeader"/>
              <w:rPr>
                <w:rFonts w:cs="Calibri"/>
              </w:rPr>
            </w:pPr>
            <w:r>
              <w:t>Building Type</w:t>
            </w:r>
          </w:p>
        </w:tc>
        <w:tc>
          <w:tcPr>
            <w:tcW w:w="471" w:type="pct"/>
            <w:vMerge w:val="restart"/>
            <w:tcBorders>
              <w:top w:val="single" w:sz="8" w:space="0" w:color="auto"/>
              <w:left w:val="nil"/>
              <w:bottom w:val="single" w:sz="8" w:space="0" w:color="000000"/>
              <w:right w:val="single" w:sz="8" w:space="0" w:color="FFFBF0"/>
            </w:tcBorders>
            <w:shd w:val="clear" w:color="auto" w:fill="1F497D"/>
            <w:tcMar>
              <w:top w:w="0" w:type="dxa"/>
              <w:left w:w="108" w:type="dxa"/>
              <w:bottom w:w="0" w:type="dxa"/>
              <w:right w:w="108" w:type="dxa"/>
            </w:tcMar>
            <w:vAlign w:val="center"/>
            <w:hideMark/>
          </w:tcPr>
          <w:p w:rsidR="009A3834" w:rsidRDefault="009A3834" w:rsidP="00512341">
            <w:pPr>
              <w:pStyle w:val="TableHeader"/>
              <w:rPr>
                <w:rFonts w:cs="Calibri"/>
              </w:rPr>
            </w:pPr>
            <w:r>
              <w:t xml:space="preserve">Footprint (sq. </w:t>
            </w:r>
            <w:proofErr w:type="spellStart"/>
            <w:r>
              <w:t>ft</w:t>
            </w:r>
            <w:proofErr w:type="spellEnd"/>
            <w:r>
              <w:t>)</w:t>
            </w:r>
          </w:p>
        </w:tc>
        <w:tc>
          <w:tcPr>
            <w:tcW w:w="513" w:type="pct"/>
            <w:vMerge w:val="restart"/>
            <w:tcBorders>
              <w:top w:val="single" w:sz="8" w:space="0" w:color="auto"/>
              <w:left w:val="nil"/>
              <w:bottom w:val="single" w:sz="8" w:space="0" w:color="000000"/>
              <w:right w:val="single" w:sz="8" w:space="0" w:color="FFFBF0"/>
            </w:tcBorders>
            <w:shd w:val="clear" w:color="auto" w:fill="1F497D"/>
            <w:tcMar>
              <w:top w:w="0" w:type="dxa"/>
              <w:left w:w="108" w:type="dxa"/>
              <w:bottom w:w="0" w:type="dxa"/>
              <w:right w:w="108" w:type="dxa"/>
            </w:tcMar>
            <w:vAlign w:val="center"/>
            <w:hideMark/>
          </w:tcPr>
          <w:p w:rsidR="009A3834" w:rsidRDefault="009A3834" w:rsidP="00512341">
            <w:pPr>
              <w:pStyle w:val="TableHeader"/>
              <w:rPr>
                <w:rFonts w:cs="Calibri"/>
              </w:rPr>
            </w:pPr>
            <w:r>
              <w:t>Stories</w:t>
            </w:r>
          </w:p>
        </w:tc>
        <w:tc>
          <w:tcPr>
            <w:tcW w:w="556" w:type="pct"/>
            <w:vMerge w:val="restart"/>
            <w:tcBorders>
              <w:top w:val="single" w:sz="8" w:space="0" w:color="auto"/>
              <w:left w:val="nil"/>
              <w:bottom w:val="single" w:sz="8" w:space="0" w:color="000000"/>
              <w:right w:val="single" w:sz="8" w:space="0" w:color="FFFBF0"/>
            </w:tcBorders>
            <w:shd w:val="clear" w:color="auto" w:fill="1F497D"/>
            <w:tcMar>
              <w:top w:w="0" w:type="dxa"/>
              <w:left w:w="108" w:type="dxa"/>
              <w:bottom w:w="0" w:type="dxa"/>
              <w:right w:w="108" w:type="dxa"/>
            </w:tcMar>
            <w:vAlign w:val="center"/>
            <w:hideMark/>
          </w:tcPr>
          <w:p w:rsidR="009A3834" w:rsidRDefault="009A3834" w:rsidP="00512341">
            <w:pPr>
              <w:pStyle w:val="TableHeader"/>
              <w:rPr>
                <w:rFonts w:cs="Calibri"/>
              </w:rPr>
            </w:pPr>
            <w:r>
              <w:t>Orientation</w:t>
            </w:r>
          </w:p>
        </w:tc>
        <w:tc>
          <w:tcPr>
            <w:tcW w:w="2052" w:type="pct"/>
            <w:gridSpan w:val="4"/>
            <w:tcBorders>
              <w:top w:val="single" w:sz="8" w:space="0" w:color="auto"/>
              <w:left w:val="nil"/>
              <w:bottom w:val="single" w:sz="8" w:space="0" w:color="FFFBF0"/>
              <w:right w:val="single" w:sz="8" w:space="0" w:color="FFFBF0"/>
            </w:tcBorders>
            <w:shd w:val="clear" w:color="auto" w:fill="1F497D"/>
            <w:tcMar>
              <w:top w:w="0" w:type="dxa"/>
              <w:left w:w="108" w:type="dxa"/>
              <w:bottom w:w="0" w:type="dxa"/>
              <w:right w:w="108" w:type="dxa"/>
            </w:tcMar>
            <w:vAlign w:val="center"/>
            <w:hideMark/>
          </w:tcPr>
          <w:p w:rsidR="009A3834" w:rsidRDefault="009A3834" w:rsidP="00512341">
            <w:pPr>
              <w:pStyle w:val="TableHeader"/>
              <w:rPr>
                <w:rFonts w:cs="Calibri"/>
              </w:rPr>
            </w:pPr>
            <w:r>
              <w:t>Window to Wall Ratio</w:t>
            </w:r>
          </w:p>
        </w:tc>
        <w:tc>
          <w:tcPr>
            <w:tcW w:w="513" w:type="pct"/>
            <w:vMerge w:val="restart"/>
            <w:tcBorders>
              <w:top w:val="single" w:sz="8" w:space="0" w:color="auto"/>
              <w:left w:val="nil"/>
              <w:bottom w:val="single" w:sz="8" w:space="0" w:color="000000"/>
              <w:right w:val="single" w:sz="8" w:space="0" w:color="auto"/>
            </w:tcBorders>
            <w:shd w:val="clear" w:color="auto" w:fill="1F497D"/>
            <w:tcMar>
              <w:top w:w="0" w:type="dxa"/>
              <w:left w:w="108" w:type="dxa"/>
              <w:bottom w:w="0" w:type="dxa"/>
              <w:right w:w="108" w:type="dxa"/>
            </w:tcMar>
            <w:vAlign w:val="center"/>
            <w:hideMark/>
          </w:tcPr>
          <w:p w:rsidR="009A3834" w:rsidRDefault="009A3834" w:rsidP="00512341">
            <w:pPr>
              <w:pStyle w:val="TableHeader"/>
              <w:rPr>
                <w:rFonts w:cs="Calibri"/>
              </w:rPr>
            </w:pPr>
            <w:r>
              <w:t>Climate Zone</w:t>
            </w:r>
          </w:p>
        </w:tc>
      </w:tr>
      <w:tr w:rsidR="009A3834" w:rsidTr="002F0D62">
        <w:trPr>
          <w:trHeight w:val="300"/>
          <w:jc w:val="center"/>
        </w:trPr>
        <w:tc>
          <w:tcPr>
            <w:tcW w:w="895" w:type="pct"/>
            <w:vMerge/>
            <w:tcBorders>
              <w:top w:val="single" w:sz="8" w:space="0" w:color="auto"/>
              <w:left w:val="single" w:sz="8" w:space="0" w:color="auto"/>
              <w:bottom w:val="single" w:sz="8" w:space="0" w:color="000000"/>
              <w:right w:val="single" w:sz="8" w:space="0" w:color="FFFBF0"/>
            </w:tcBorders>
            <w:vAlign w:val="center"/>
            <w:hideMark/>
          </w:tcPr>
          <w:p w:rsidR="009A3834" w:rsidRDefault="009A3834" w:rsidP="00512341">
            <w:pPr>
              <w:pStyle w:val="TableHeader"/>
              <w:rPr>
                <w:rFonts w:cs="Calibri"/>
              </w:rPr>
            </w:pPr>
          </w:p>
        </w:tc>
        <w:tc>
          <w:tcPr>
            <w:tcW w:w="471" w:type="pct"/>
            <w:vMerge/>
            <w:tcBorders>
              <w:top w:val="single" w:sz="8" w:space="0" w:color="auto"/>
              <w:left w:val="nil"/>
              <w:bottom w:val="single" w:sz="8" w:space="0" w:color="000000"/>
              <w:right w:val="single" w:sz="8" w:space="0" w:color="FFFBF0"/>
            </w:tcBorders>
            <w:vAlign w:val="center"/>
            <w:hideMark/>
          </w:tcPr>
          <w:p w:rsidR="009A3834" w:rsidRDefault="009A3834" w:rsidP="00512341">
            <w:pPr>
              <w:pStyle w:val="TableHeader"/>
              <w:rPr>
                <w:rFonts w:cs="Calibri"/>
              </w:rPr>
            </w:pPr>
          </w:p>
        </w:tc>
        <w:tc>
          <w:tcPr>
            <w:tcW w:w="513" w:type="pct"/>
            <w:vMerge/>
            <w:tcBorders>
              <w:top w:val="single" w:sz="8" w:space="0" w:color="auto"/>
              <w:left w:val="nil"/>
              <w:bottom w:val="single" w:sz="8" w:space="0" w:color="000000"/>
              <w:right w:val="single" w:sz="8" w:space="0" w:color="FFFBF0"/>
            </w:tcBorders>
            <w:vAlign w:val="center"/>
            <w:hideMark/>
          </w:tcPr>
          <w:p w:rsidR="009A3834" w:rsidRDefault="009A3834" w:rsidP="00512341">
            <w:pPr>
              <w:pStyle w:val="TableHeader"/>
              <w:rPr>
                <w:rFonts w:cs="Calibri"/>
              </w:rPr>
            </w:pPr>
          </w:p>
        </w:tc>
        <w:tc>
          <w:tcPr>
            <w:tcW w:w="556" w:type="pct"/>
            <w:vMerge/>
            <w:tcBorders>
              <w:top w:val="single" w:sz="8" w:space="0" w:color="auto"/>
              <w:left w:val="nil"/>
              <w:bottom w:val="single" w:sz="8" w:space="0" w:color="000000"/>
              <w:right w:val="single" w:sz="8" w:space="0" w:color="FFFBF0"/>
            </w:tcBorders>
            <w:vAlign w:val="center"/>
            <w:hideMark/>
          </w:tcPr>
          <w:p w:rsidR="009A3834" w:rsidRDefault="009A3834" w:rsidP="00512341">
            <w:pPr>
              <w:pStyle w:val="TableHeader"/>
              <w:rPr>
                <w:rFonts w:cs="Calibri"/>
              </w:rPr>
            </w:pPr>
          </w:p>
        </w:tc>
        <w:tc>
          <w:tcPr>
            <w:tcW w:w="513" w:type="pct"/>
            <w:tcBorders>
              <w:top w:val="nil"/>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9A3834" w:rsidRDefault="009A3834" w:rsidP="00512341">
            <w:pPr>
              <w:pStyle w:val="TableHeader"/>
              <w:rPr>
                <w:rFonts w:cs="Calibri"/>
                <w:i/>
                <w:iCs/>
              </w:rPr>
            </w:pPr>
            <w:r>
              <w:rPr>
                <w:i/>
                <w:iCs/>
              </w:rPr>
              <w:t>North</w:t>
            </w:r>
          </w:p>
        </w:tc>
        <w:tc>
          <w:tcPr>
            <w:tcW w:w="513" w:type="pct"/>
            <w:tcBorders>
              <w:top w:val="nil"/>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9A3834" w:rsidRDefault="009A3834" w:rsidP="00512341">
            <w:pPr>
              <w:pStyle w:val="TableHeader"/>
              <w:rPr>
                <w:rFonts w:cs="Calibri"/>
                <w:i/>
                <w:iCs/>
              </w:rPr>
            </w:pPr>
            <w:r>
              <w:rPr>
                <w:i/>
                <w:iCs/>
              </w:rPr>
              <w:t>East</w:t>
            </w:r>
          </w:p>
        </w:tc>
        <w:tc>
          <w:tcPr>
            <w:tcW w:w="513" w:type="pct"/>
            <w:tcBorders>
              <w:top w:val="nil"/>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9A3834" w:rsidRDefault="009A3834" w:rsidP="00512341">
            <w:pPr>
              <w:pStyle w:val="TableHeader"/>
              <w:rPr>
                <w:rFonts w:cs="Calibri"/>
                <w:i/>
                <w:iCs/>
              </w:rPr>
            </w:pPr>
            <w:r>
              <w:rPr>
                <w:i/>
                <w:iCs/>
              </w:rPr>
              <w:t>South</w:t>
            </w:r>
          </w:p>
        </w:tc>
        <w:tc>
          <w:tcPr>
            <w:tcW w:w="513" w:type="pct"/>
            <w:tcBorders>
              <w:top w:val="nil"/>
              <w:left w:val="nil"/>
              <w:bottom w:val="single" w:sz="8" w:space="0" w:color="auto"/>
              <w:right w:val="single" w:sz="8" w:space="0" w:color="FFFBF0"/>
            </w:tcBorders>
            <w:shd w:val="clear" w:color="auto" w:fill="1F497D"/>
            <w:tcMar>
              <w:top w:w="0" w:type="dxa"/>
              <w:left w:w="108" w:type="dxa"/>
              <w:bottom w:w="0" w:type="dxa"/>
              <w:right w:w="108" w:type="dxa"/>
            </w:tcMar>
            <w:vAlign w:val="center"/>
            <w:hideMark/>
          </w:tcPr>
          <w:p w:rsidR="009A3834" w:rsidRDefault="009A3834" w:rsidP="00512341">
            <w:pPr>
              <w:pStyle w:val="TableHeader"/>
              <w:rPr>
                <w:rFonts w:cs="Calibri"/>
                <w:i/>
                <w:iCs/>
              </w:rPr>
            </w:pPr>
            <w:r>
              <w:rPr>
                <w:i/>
                <w:iCs/>
              </w:rPr>
              <w:t>West</w:t>
            </w:r>
          </w:p>
        </w:tc>
        <w:tc>
          <w:tcPr>
            <w:tcW w:w="513" w:type="pct"/>
            <w:vMerge/>
            <w:tcBorders>
              <w:top w:val="single" w:sz="8" w:space="0" w:color="auto"/>
              <w:left w:val="nil"/>
              <w:bottom w:val="single" w:sz="8" w:space="0" w:color="000000"/>
              <w:right w:val="single" w:sz="8" w:space="0" w:color="auto"/>
            </w:tcBorders>
            <w:vAlign w:val="center"/>
            <w:hideMark/>
          </w:tcPr>
          <w:p w:rsidR="009A3834" w:rsidRDefault="009A3834" w:rsidP="00512341">
            <w:pPr>
              <w:pStyle w:val="TableHeader"/>
              <w:rPr>
                <w:rFonts w:cs="Calibri"/>
              </w:rPr>
            </w:pPr>
          </w:p>
        </w:tc>
      </w:tr>
      <w:tr w:rsidR="009A3834" w:rsidTr="002F0D62">
        <w:trPr>
          <w:trHeight w:val="403"/>
          <w:jc w:val="center"/>
        </w:trPr>
        <w:tc>
          <w:tcPr>
            <w:tcW w:w="89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A3834" w:rsidRPr="00512341" w:rsidRDefault="009A3834" w:rsidP="00512341">
            <w:pPr>
              <w:pStyle w:val="TableText"/>
              <w:rPr>
                <w:rFonts w:cs="Calibri"/>
                <w:b/>
              </w:rPr>
            </w:pPr>
            <w:r w:rsidRPr="00512341">
              <w:rPr>
                <w:b/>
              </w:rPr>
              <w:t>Original Building</w:t>
            </w:r>
          </w:p>
        </w:tc>
        <w:tc>
          <w:tcPr>
            <w:tcW w:w="4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10,568</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1</w:t>
            </w:r>
          </w:p>
        </w:tc>
        <w:tc>
          <w:tcPr>
            <w:tcW w:w="5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North</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0.16</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0.28</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0.20</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0.23</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12</w:t>
            </w:r>
          </w:p>
        </w:tc>
      </w:tr>
      <w:tr w:rsidR="009A3834" w:rsidTr="002F0D62">
        <w:trPr>
          <w:trHeight w:val="448"/>
          <w:jc w:val="center"/>
        </w:trPr>
        <w:tc>
          <w:tcPr>
            <w:tcW w:w="89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A3834" w:rsidRPr="00512341" w:rsidRDefault="009A3834" w:rsidP="00512341">
            <w:pPr>
              <w:pStyle w:val="TableText"/>
              <w:rPr>
                <w:rFonts w:cs="Calibri"/>
                <w:b/>
              </w:rPr>
            </w:pPr>
            <w:r w:rsidRPr="00512341">
              <w:rPr>
                <w:b/>
              </w:rPr>
              <w:t>Twice the Size</w:t>
            </w:r>
          </w:p>
        </w:tc>
        <w:tc>
          <w:tcPr>
            <w:tcW w:w="4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21,141</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1</w:t>
            </w:r>
          </w:p>
        </w:tc>
        <w:tc>
          <w:tcPr>
            <w:tcW w:w="5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North</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0.16</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0.28</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0.20</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0.23</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12</w:t>
            </w:r>
          </w:p>
        </w:tc>
      </w:tr>
      <w:tr w:rsidR="009A3834" w:rsidTr="002F0D62">
        <w:trPr>
          <w:trHeight w:val="421"/>
          <w:jc w:val="center"/>
        </w:trPr>
        <w:tc>
          <w:tcPr>
            <w:tcW w:w="89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A3834" w:rsidRPr="00512341" w:rsidRDefault="009A3834" w:rsidP="00512341">
            <w:pPr>
              <w:pStyle w:val="TableText"/>
              <w:rPr>
                <w:rFonts w:cs="Calibri"/>
                <w:b/>
              </w:rPr>
            </w:pPr>
            <w:r w:rsidRPr="00512341">
              <w:rPr>
                <w:b/>
              </w:rPr>
              <w:t>Half the Size</w:t>
            </w:r>
          </w:p>
        </w:tc>
        <w:tc>
          <w:tcPr>
            <w:tcW w:w="4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5,329</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1</w:t>
            </w:r>
          </w:p>
        </w:tc>
        <w:tc>
          <w:tcPr>
            <w:tcW w:w="5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North</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0.16</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0.28</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0.20</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0.23</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12</w:t>
            </w:r>
          </w:p>
        </w:tc>
      </w:tr>
      <w:tr w:rsidR="009A3834" w:rsidTr="002F0D62">
        <w:trPr>
          <w:trHeight w:val="439"/>
          <w:jc w:val="center"/>
        </w:trPr>
        <w:tc>
          <w:tcPr>
            <w:tcW w:w="89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A3834" w:rsidRPr="00512341" w:rsidRDefault="009A3834" w:rsidP="00512341">
            <w:pPr>
              <w:pStyle w:val="TableText"/>
              <w:rPr>
                <w:rFonts w:cs="Calibri"/>
                <w:b/>
              </w:rPr>
            </w:pPr>
            <w:r w:rsidRPr="00512341">
              <w:rPr>
                <w:b/>
              </w:rPr>
              <w:t>Four Floors</w:t>
            </w:r>
          </w:p>
        </w:tc>
        <w:tc>
          <w:tcPr>
            <w:tcW w:w="4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10,568</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4</w:t>
            </w:r>
          </w:p>
        </w:tc>
        <w:tc>
          <w:tcPr>
            <w:tcW w:w="5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North</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0.16</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0.28</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0.20</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0.23</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12</w:t>
            </w:r>
          </w:p>
        </w:tc>
      </w:tr>
      <w:tr w:rsidR="009A3834" w:rsidTr="002F0D62">
        <w:trPr>
          <w:trHeight w:val="340"/>
          <w:jc w:val="center"/>
        </w:trPr>
        <w:tc>
          <w:tcPr>
            <w:tcW w:w="89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A3834" w:rsidRPr="00512341" w:rsidRDefault="009A3834" w:rsidP="00512341">
            <w:pPr>
              <w:pStyle w:val="TableText"/>
              <w:rPr>
                <w:rFonts w:cs="Calibri"/>
                <w:b/>
              </w:rPr>
            </w:pPr>
            <w:r w:rsidRPr="00512341">
              <w:rPr>
                <w:b/>
              </w:rPr>
              <w:t>Twice the Window to Wall Ratio</w:t>
            </w:r>
          </w:p>
        </w:tc>
        <w:tc>
          <w:tcPr>
            <w:tcW w:w="4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10,568</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1</w:t>
            </w:r>
          </w:p>
        </w:tc>
        <w:tc>
          <w:tcPr>
            <w:tcW w:w="5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North</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0.32</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0.56</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0.40</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0.46</w:t>
            </w:r>
          </w:p>
        </w:tc>
        <w:tc>
          <w:tcPr>
            <w:tcW w:w="51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Default="009A3834" w:rsidP="00512341">
            <w:pPr>
              <w:pStyle w:val="TableText"/>
              <w:rPr>
                <w:rFonts w:cs="Calibri"/>
              </w:rPr>
            </w:pPr>
            <w:r>
              <w:t>12</w:t>
            </w:r>
          </w:p>
        </w:tc>
      </w:tr>
    </w:tbl>
    <w:p w:rsidR="009A3834" w:rsidRPr="00D5138E" w:rsidRDefault="009A3834" w:rsidP="009A3834">
      <w:pPr>
        <w:rPr>
          <w:rFonts w:ascii="Verdana" w:hAnsi="Verdana"/>
          <w:sz w:val="18"/>
        </w:rPr>
        <w:sectPr w:rsidR="009A3834" w:rsidRPr="00D5138E" w:rsidSect="00BF594A">
          <w:footerReference w:type="default" r:id="rId41"/>
          <w:pgSz w:w="15840" w:h="12240" w:orient="landscape"/>
          <w:pgMar w:top="1440" w:right="1440" w:bottom="1440" w:left="1440" w:header="720" w:footer="720" w:gutter="0"/>
          <w:cols w:space="720"/>
          <w:docGrid w:linePitch="360"/>
        </w:sectPr>
      </w:pPr>
    </w:p>
    <w:p w:rsidR="009A3834" w:rsidRPr="007933F9" w:rsidRDefault="009A3834" w:rsidP="009A3834">
      <w:pPr>
        <w:pStyle w:val="BodyParaAfterTableFigure"/>
      </w:pPr>
      <w:r>
        <w:lastRenderedPageBreak/>
        <w:t xml:space="preserve">Having established that it is possible to use the DRQAT to determine relative usage levels without regard to the building characteristics, </w:t>
      </w:r>
      <w:proofErr w:type="spellStart"/>
      <w:r>
        <w:t>Nexant’s</w:t>
      </w:r>
      <w:proofErr w:type="spellEnd"/>
      <w:r>
        <w:t xml:space="preserve"> process for producing </w:t>
      </w:r>
      <w:r w:rsidR="00F951A5">
        <w:t xml:space="preserve">the </w:t>
      </w:r>
      <w:proofErr w:type="spellStart"/>
      <w:r>
        <w:t>ex ante</w:t>
      </w:r>
      <w:proofErr w:type="spellEnd"/>
      <w:r>
        <w:t xml:space="preserve"> </w:t>
      </w:r>
      <w:r w:rsidR="00F951A5">
        <w:t>conversion factors</w:t>
      </w:r>
      <w:r>
        <w:t xml:space="preserve"> is as follows.</w:t>
      </w:r>
    </w:p>
    <w:p w:rsidR="009A3834" w:rsidRPr="007933F9" w:rsidRDefault="009A3834" w:rsidP="009A3834">
      <w:pPr>
        <w:pStyle w:val="BodyParagraph"/>
      </w:pPr>
      <w:r>
        <w:t>Nexant</w:t>
      </w:r>
      <w:r w:rsidRPr="007933F9">
        <w:t xml:space="preserve"> f</w:t>
      </w:r>
      <w:r>
        <w:t>ou</w:t>
      </w:r>
      <w:r w:rsidRPr="007933F9">
        <w:t>nd the ratio of chiller load under ex ante weather conditions to chiller load under ASHRAE 2% weather conditions</w:t>
      </w:r>
      <w:r w:rsidR="00F951A5">
        <w:t>, which varies by</w:t>
      </w:r>
      <w:r w:rsidR="00F951A5" w:rsidRPr="007933F9">
        <w:t xml:space="preserve"> </w:t>
      </w:r>
      <w:r w:rsidR="00F951A5">
        <w:t>weather station within each LCA</w:t>
      </w:r>
      <w:r w:rsidRPr="007933F9">
        <w:t>.  Some LCAs have multiple weather stations and in those cases</w:t>
      </w:r>
      <w:r>
        <w:t xml:space="preserve"> Nexant</w:t>
      </w:r>
      <w:r w:rsidRPr="007933F9">
        <w:t xml:space="preserve"> made assumptions about the percentage of load shift that will be associated with each station.  These percentages are based on the number of nonresidential customers that are located within each weather station’s area.  The </w:t>
      </w:r>
      <w:r>
        <w:t>T</w:t>
      </w:r>
      <w:r w:rsidRPr="007933F9">
        <w:t>able</w:t>
      </w:r>
      <w:r>
        <w:t xml:space="preserve"> 2-4</w:t>
      </w:r>
      <w:r w:rsidRPr="007933F9">
        <w:t xml:space="preserve"> shows those</w:t>
      </w:r>
      <w:r w:rsidR="00F951A5">
        <w:t xml:space="preserve"> distributional assumptions</w:t>
      </w:r>
      <w:r w:rsidRPr="007933F9">
        <w:t xml:space="preserve">.  For example, within the Northern Coast LCA, 49% of the load impact would come from </w:t>
      </w:r>
      <w:r>
        <w:t xml:space="preserve">the </w:t>
      </w:r>
      <w:r w:rsidR="00F951A5">
        <w:t xml:space="preserve">customers that are assigned to the </w:t>
      </w:r>
      <w:r w:rsidRPr="007933F9">
        <w:t xml:space="preserve">Sacramento weather station and 51% would come from </w:t>
      </w:r>
      <w:r w:rsidR="00F951A5">
        <w:t xml:space="preserve">customers that are assigned to </w:t>
      </w:r>
      <w:r w:rsidRPr="007933F9">
        <w:t>t</w:t>
      </w:r>
      <w:r w:rsidR="00F951A5">
        <w:t>he Santa Rosa weather station.</w:t>
      </w:r>
    </w:p>
    <w:p w:rsidR="009A3834" w:rsidRPr="00774663" w:rsidRDefault="009A3834" w:rsidP="009A3834">
      <w:pPr>
        <w:pStyle w:val="TableFigureCaption"/>
      </w:pPr>
      <w:r w:rsidRPr="00774663">
        <w:t xml:space="preserve">Table </w:t>
      </w:r>
      <w:r w:rsidR="004D2F04">
        <w:t>A</w:t>
      </w:r>
      <w:r w:rsidRPr="00774663">
        <w:t>-4: Weather Station Assignments</w:t>
      </w:r>
    </w:p>
    <w:tbl>
      <w:tblPr>
        <w:tblW w:w="7668" w:type="dxa"/>
        <w:jc w:val="center"/>
        <w:tblCellMar>
          <w:left w:w="0" w:type="dxa"/>
          <w:right w:w="0" w:type="dxa"/>
        </w:tblCellMar>
        <w:tblLook w:val="04A0" w:firstRow="1" w:lastRow="0" w:firstColumn="1" w:lastColumn="0" w:noHBand="0" w:noVBand="1"/>
      </w:tblPr>
      <w:tblGrid>
        <w:gridCol w:w="1346"/>
        <w:gridCol w:w="2663"/>
        <w:gridCol w:w="3659"/>
      </w:tblGrid>
      <w:tr w:rsidR="009A3834" w:rsidTr="00512341">
        <w:trPr>
          <w:trHeight w:val="610"/>
          <w:jc w:val="center"/>
        </w:trPr>
        <w:tc>
          <w:tcPr>
            <w:tcW w:w="1346" w:type="dxa"/>
            <w:tcBorders>
              <w:top w:val="single" w:sz="8" w:space="0" w:color="auto"/>
              <w:left w:val="single" w:sz="8" w:space="0" w:color="auto"/>
              <w:bottom w:val="single" w:sz="8" w:space="0" w:color="auto"/>
              <w:right w:val="single" w:sz="4" w:space="0" w:color="FFFFFF" w:themeColor="background1"/>
            </w:tcBorders>
            <w:shd w:val="clear" w:color="auto" w:fill="1F497D" w:themeFill="text2"/>
            <w:noWrap/>
            <w:tcMar>
              <w:top w:w="0" w:type="dxa"/>
              <w:left w:w="108" w:type="dxa"/>
              <w:bottom w:w="0" w:type="dxa"/>
              <w:right w:w="108" w:type="dxa"/>
            </w:tcMar>
            <w:vAlign w:val="center"/>
            <w:hideMark/>
          </w:tcPr>
          <w:p w:rsidR="009A3834" w:rsidRPr="0002323C" w:rsidRDefault="009A3834">
            <w:pPr>
              <w:pStyle w:val="TableHeader"/>
            </w:pPr>
            <w:r w:rsidRPr="004D2F04">
              <w:t>Utility</w:t>
            </w:r>
          </w:p>
        </w:tc>
        <w:tc>
          <w:tcPr>
            <w:tcW w:w="2663" w:type="dxa"/>
            <w:tcBorders>
              <w:top w:val="single" w:sz="8" w:space="0" w:color="auto"/>
              <w:left w:val="single" w:sz="4" w:space="0" w:color="FFFFFF" w:themeColor="background1"/>
              <w:bottom w:val="single" w:sz="8" w:space="0" w:color="auto"/>
              <w:right w:val="single" w:sz="4" w:space="0" w:color="FFFFFF" w:themeColor="background1"/>
            </w:tcBorders>
            <w:shd w:val="clear" w:color="auto" w:fill="1F497D" w:themeFill="text2"/>
            <w:noWrap/>
            <w:tcMar>
              <w:top w:w="0" w:type="dxa"/>
              <w:left w:w="108" w:type="dxa"/>
              <w:bottom w:w="0" w:type="dxa"/>
              <w:right w:w="108" w:type="dxa"/>
            </w:tcMar>
            <w:vAlign w:val="center"/>
            <w:hideMark/>
          </w:tcPr>
          <w:p w:rsidR="009A3834" w:rsidRPr="0002323C" w:rsidRDefault="009A3834">
            <w:pPr>
              <w:pStyle w:val="TableHeader"/>
            </w:pPr>
            <w:r w:rsidRPr="004D2F04">
              <w:t>LCA</w:t>
            </w:r>
          </w:p>
        </w:tc>
        <w:tc>
          <w:tcPr>
            <w:tcW w:w="3659" w:type="dxa"/>
            <w:tcBorders>
              <w:top w:val="single" w:sz="8" w:space="0" w:color="auto"/>
              <w:left w:val="single" w:sz="4" w:space="0" w:color="FFFFFF" w:themeColor="background1"/>
              <w:bottom w:val="single" w:sz="8" w:space="0" w:color="auto"/>
              <w:right w:val="single" w:sz="8" w:space="0" w:color="auto"/>
            </w:tcBorders>
            <w:shd w:val="clear" w:color="auto" w:fill="1F497D" w:themeFill="text2"/>
            <w:tcMar>
              <w:top w:w="0" w:type="dxa"/>
              <w:left w:w="108" w:type="dxa"/>
              <w:bottom w:w="0" w:type="dxa"/>
              <w:right w:w="108" w:type="dxa"/>
            </w:tcMar>
            <w:vAlign w:val="center"/>
            <w:hideMark/>
          </w:tcPr>
          <w:p w:rsidR="009A3834" w:rsidRPr="0002323C" w:rsidRDefault="009A3834">
            <w:pPr>
              <w:pStyle w:val="TableHeader"/>
            </w:pPr>
            <w:r w:rsidRPr="004D2F04">
              <w:t>Weather Stations Assigned (percentage of assigned load shift in parentheses)</w:t>
            </w:r>
          </w:p>
        </w:tc>
      </w:tr>
      <w:tr w:rsidR="009A3834" w:rsidTr="002F0D62">
        <w:trPr>
          <w:trHeight w:val="20"/>
          <w:jc w:val="center"/>
        </w:trPr>
        <w:tc>
          <w:tcPr>
            <w:tcW w:w="1346" w:type="dxa"/>
            <w:vMerge w:val="restar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9A3834" w:rsidRPr="0002323C" w:rsidRDefault="009A3834">
            <w:pPr>
              <w:pStyle w:val="TableText"/>
            </w:pPr>
            <w:r w:rsidRPr="004D2F04">
              <w:t>PG&amp;E</w:t>
            </w: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02323C" w:rsidRDefault="009A3834">
            <w:pPr>
              <w:pStyle w:val="TableText"/>
            </w:pPr>
            <w:r w:rsidRPr="004D2F04">
              <w:t>Greater Bay Area</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Pr="0002323C" w:rsidRDefault="009A3834">
            <w:pPr>
              <w:pStyle w:val="TableText"/>
            </w:pPr>
            <w:r w:rsidRPr="004D2F04">
              <w:t>Concord (22%), Cupertino (21%), Milpitas (46%), San Ramon (11%)</w:t>
            </w:r>
          </w:p>
        </w:tc>
      </w:tr>
      <w:tr w:rsidR="009A3834" w:rsidTr="002F0D62">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9A3834" w:rsidRPr="00512341" w:rsidRDefault="009A3834">
            <w:pPr>
              <w:pStyle w:val="TableText"/>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02323C" w:rsidRDefault="009A3834">
            <w:pPr>
              <w:pStyle w:val="TableText"/>
            </w:pPr>
            <w:r w:rsidRPr="004D2F04">
              <w:t>Greater Fresno</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Pr="0002323C" w:rsidRDefault="009A3834">
            <w:pPr>
              <w:pStyle w:val="TableText"/>
            </w:pPr>
            <w:r w:rsidRPr="004D2F04">
              <w:t>Fresno (100%)</w:t>
            </w:r>
          </w:p>
        </w:tc>
      </w:tr>
      <w:tr w:rsidR="009A3834" w:rsidTr="002F0D62">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9A3834" w:rsidRPr="00512341" w:rsidRDefault="009A3834">
            <w:pPr>
              <w:pStyle w:val="TableText"/>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02323C" w:rsidRDefault="009A3834">
            <w:pPr>
              <w:pStyle w:val="TableText"/>
            </w:pPr>
            <w:r w:rsidRPr="004D2F04">
              <w:t>Humboldt</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Pr="0002323C" w:rsidRDefault="009A3834">
            <w:pPr>
              <w:pStyle w:val="TableText"/>
            </w:pPr>
            <w:r w:rsidRPr="004D2F04">
              <w:t>Eureka (100%)</w:t>
            </w:r>
          </w:p>
        </w:tc>
      </w:tr>
      <w:tr w:rsidR="009A3834" w:rsidTr="002F0D62">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9A3834" w:rsidRPr="00512341" w:rsidRDefault="009A3834">
            <w:pPr>
              <w:pStyle w:val="TableText"/>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02323C" w:rsidRDefault="009A3834">
            <w:pPr>
              <w:pStyle w:val="TableText"/>
            </w:pPr>
            <w:r w:rsidRPr="004D2F04">
              <w:t>Kern</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Pr="0002323C" w:rsidRDefault="009A3834">
            <w:pPr>
              <w:pStyle w:val="TableText"/>
            </w:pPr>
            <w:r w:rsidRPr="004D2F04">
              <w:t>Bakersfield (100%)</w:t>
            </w:r>
          </w:p>
        </w:tc>
      </w:tr>
      <w:tr w:rsidR="009A3834" w:rsidTr="002F0D62">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9A3834" w:rsidRPr="00512341" w:rsidRDefault="009A3834">
            <w:pPr>
              <w:pStyle w:val="TableText"/>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02323C" w:rsidRDefault="009A3834">
            <w:pPr>
              <w:pStyle w:val="TableText"/>
            </w:pPr>
            <w:r w:rsidRPr="004D2F04">
              <w:t>Northern Coast</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Pr="0002323C" w:rsidRDefault="009A3834">
            <w:pPr>
              <w:pStyle w:val="TableText"/>
            </w:pPr>
            <w:r w:rsidRPr="004D2F04">
              <w:t>Sacramento (49%), Santa Rosa (51%)</w:t>
            </w:r>
          </w:p>
        </w:tc>
      </w:tr>
      <w:tr w:rsidR="009A3834" w:rsidTr="002F0D62">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9A3834" w:rsidRPr="00512341" w:rsidRDefault="009A3834">
            <w:pPr>
              <w:pStyle w:val="TableText"/>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02323C" w:rsidRDefault="009A3834">
            <w:pPr>
              <w:pStyle w:val="TableText"/>
            </w:pPr>
            <w:r w:rsidRPr="004D2F04">
              <w:t>Sierra</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Pr="0002323C" w:rsidRDefault="009A3834">
            <w:pPr>
              <w:pStyle w:val="TableText"/>
            </w:pPr>
            <w:r w:rsidRPr="004D2F04">
              <w:t>Auburn (100%)</w:t>
            </w:r>
          </w:p>
        </w:tc>
      </w:tr>
      <w:tr w:rsidR="009A3834" w:rsidTr="002F0D62">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9A3834" w:rsidRPr="00512341" w:rsidRDefault="009A3834">
            <w:pPr>
              <w:pStyle w:val="TableText"/>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02323C" w:rsidRDefault="009A3834">
            <w:pPr>
              <w:pStyle w:val="TableText"/>
            </w:pPr>
            <w:r w:rsidRPr="004D2F04">
              <w:t>Stockton</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Pr="0002323C" w:rsidRDefault="009A3834">
            <w:pPr>
              <w:pStyle w:val="TableText"/>
            </w:pPr>
            <w:r w:rsidRPr="004D2F04">
              <w:t>Stockton (100%)</w:t>
            </w:r>
          </w:p>
        </w:tc>
      </w:tr>
      <w:tr w:rsidR="009A3834" w:rsidTr="002F0D62">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9A3834" w:rsidRPr="00512341" w:rsidRDefault="009A3834">
            <w:pPr>
              <w:pStyle w:val="TableText"/>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02323C" w:rsidRDefault="009A3834">
            <w:pPr>
              <w:pStyle w:val="TableText"/>
            </w:pPr>
            <w:r w:rsidRPr="004D2F04">
              <w:t>Other</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Pr="0002323C" w:rsidRDefault="009A3834">
            <w:pPr>
              <w:pStyle w:val="TableText"/>
            </w:pPr>
            <w:r w:rsidRPr="004D2F04">
              <w:t>Salinas (100%)</w:t>
            </w:r>
          </w:p>
        </w:tc>
      </w:tr>
      <w:tr w:rsidR="009A3834" w:rsidTr="002F0D62">
        <w:trPr>
          <w:trHeight w:val="20"/>
          <w:jc w:val="center"/>
        </w:trPr>
        <w:tc>
          <w:tcPr>
            <w:tcW w:w="1346" w:type="dxa"/>
            <w:vMerge w:val="restar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9A3834" w:rsidRPr="0002323C" w:rsidRDefault="009A3834">
            <w:pPr>
              <w:pStyle w:val="TableText"/>
            </w:pPr>
            <w:r w:rsidRPr="004D2F04">
              <w:t>SCE</w:t>
            </w: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02323C" w:rsidRDefault="009A3834">
            <w:pPr>
              <w:pStyle w:val="TableText"/>
            </w:pPr>
            <w:r w:rsidRPr="004D2F04">
              <w:t>LA Basin</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Pr="0002323C" w:rsidRDefault="009A3834">
            <w:pPr>
              <w:pStyle w:val="TableText"/>
            </w:pPr>
            <w:r w:rsidRPr="004D2F04">
              <w:t>173 (100%)</w:t>
            </w:r>
          </w:p>
        </w:tc>
      </w:tr>
      <w:tr w:rsidR="009A3834" w:rsidTr="002F0D62">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9A3834" w:rsidRPr="00512341" w:rsidRDefault="009A3834">
            <w:pPr>
              <w:pStyle w:val="TableText"/>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02323C" w:rsidRDefault="009A3834">
            <w:pPr>
              <w:pStyle w:val="TableText"/>
            </w:pPr>
            <w:r w:rsidRPr="004D2F04">
              <w:t>Outside LA Basin</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Pr="0002323C" w:rsidRDefault="009A3834">
            <w:pPr>
              <w:pStyle w:val="TableText"/>
            </w:pPr>
            <w:r w:rsidRPr="004D2F04">
              <w:t>132 (100%)</w:t>
            </w:r>
          </w:p>
        </w:tc>
      </w:tr>
      <w:tr w:rsidR="009A3834" w:rsidTr="002F0D62">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rsidR="009A3834" w:rsidRPr="00512341" w:rsidRDefault="009A3834">
            <w:pPr>
              <w:pStyle w:val="TableText"/>
            </w:pPr>
          </w:p>
        </w:tc>
        <w:tc>
          <w:tcPr>
            <w:tcW w:w="26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A3834" w:rsidRPr="0002323C" w:rsidRDefault="009A3834">
            <w:pPr>
              <w:pStyle w:val="TableText"/>
            </w:pPr>
            <w:r w:rsidRPr="004D2F04">
              <w:t>Ventura</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Pr="0002323C" w:rsidRDefault="009A3834">
            <w:pPr>
              <w:pStyle w:val="TableText"/>
            </w:pPr>
            <w:r w:rsidRPr="004D2F04">
              <w:t>193 (100%)</w:t>
            </w:r>
          </w:p>
        </w:tc>
      </w:tr>
      <w:tr w:rsidR="009A3834" w:rsidTr="002F0D62">
        <w:trPr>
          <w:trHeight w:val="20"/>
          <w:jc w:val="center"/>
        </w:trPr>
        <w:tc>
          <w:tcPr>
            <w:tcW w:w="4009" w:type="dxa"/>
            <w:gridSpan w:val="2"/>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9A3834" w:rsidRPr="0002323C" w:rsidRDefault="009A3834">
            <w:pPr>
              <w:pStyle w:val="TableText"/>
            </w:pPr>
            <w:r w:rsidRPr="004D2F04">
              <w:t>SDG&amp;E</w:t>
            </w:r>
          </w:p>
        </w:tc>
        <w:tc>
          <w:tcPr>
            <w:tcW w:w="36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9A3834" w:rsidRPr="0002323C" w:rsidRDefault="00762D10">
            <w:pPr>
              <w:pStyle w:val="TableText"/>
            </w:pPr>
            <w:r w:rsidRPr="004D2F04">
              <w:t>Lindberg Field (50%), Miramar (50</w:t>
            </w:r>
            <w:r w:rsidR="009A3834" w:rsidRPr="004D2F04">
              <w:t>%)</w:t>
            </w:r>
          </w:p>
        </w:tc>
      </w:tr>
    </w:tbl>
    <w:p w:rsidR="009A3834" w:rsidRDefault="009A3834" w:rsidP="009A3834">
      <w:pPr>
        <w:pStyle w:val="BodyBeforeBullet"/>
      </w:pPr>
      <w:r>
        <w:lastRenderedPageBreak/>
        <w:t xml:space="preserve">Nexant took the “Original Building” from Table </w:t>
      </w:r>
      <w:r w:rsidR="004D2F04">
        <w:t>A</w:t>
      </w:r>
      <w:r>
        <w:t>-3 and used it as the representative building for determining relative usage levels under different conditions.  Nexant then estimated cooling load for that building under the following conditions for each weather station:</w:t>
      </w:r>
    </w:p>
    <w:p w:rsidR="009A3834" w:rsidRPr="007933F9" w:rsidRDefault="009A3834" w:rsidP="009A3834">
      <w:pPr>
        <w:pStyle w:val="Bullets"/>
        <w:keepNext/>
      </w:pPr>
      <w:r w:rsidRPr="007933F9">
        <w:t>ASHRAE 2% weather conditions;</w:t>
      </w:r>
      <w:r w:rsidRPr="007933F9">
        <w:rPr>
          <w:rStyle w:val="FootnoteReference"/>
        </w:rPr>
        <w:footnoteReference w:id="15"/>
      </w:r>
      <w:r w:rsidRPr="007933F9">
        <w:t xml:space="preserve"> and</w:t>
      </w:r>
    </w:p>
    <w:p w:rsidR="009A3834" w:rsidRPr="007933F9" w:rsidRDefault="009A3834" w:rsidP="009A3834">
      <w:pPr>
        <w:pStyle w:val="BulletLast"/>
      </w:pPr>
      <w:r w:rsidRPr="007933F9">
        <w:t xml:space="preserve">Ex ante weather conditions for each month of the year for system peak day and average weekday for 1-in-2 years and 1-in-10 years.  </w:t>
      </w:r>
    </w:p>
    <w:p w:rsidR="009A3834" w:rsidRDefault="009A3834" w:rsidP="009A3834">
      <w:pPr>
        <w:pStyle w:val="BodyParagraph"/>
      </w:pPr>
      <w:r>
        <w:t xml:space="preserve">For both the ASHRAE 2% conditions and the </w:t>
      </w:r>
      <w:proofErr w:type="spellStart"/>
      <w:r>
        <w:t>ex ante</w:t>
      </w:r>
      <w:proofErr w:type="spellEnd"/>
      <w:r>
        <w:t xml:space="preserve"> conditions, Nexant took the DRQAT’s baseline conditions as the conditions the day before the forecast.  Table </w:t>
      </w:r>
      <w:r w:rsidR="004D2F04">
        <w:t>A</w:t>
      </w:r>
      <w:r>
        <w:t>-5 shows the average temperature during the peak period for the ASHRAE 2% weather conditions for each weather station.  In general, ASHRAE 2% conditions are fairly similar to August 1-in-</w:t>
      </w:r>
      <w:r w:rsidR="00F951A5">
        <w:t>10, but may be hotter or cooler in some cases.</w:t>
      </w:r>
    </w:p>
    <w:p w:rsidR="009A3834" w:rsidRDefault="009A3834" w:rsidP="009A3834">
      <w:pPr>
        <w:pStyle w:val="TableFigureCaption"/>
      </w:pPr>
      <w:r w:rsidRPr="00774663">
        <w:t xml:space="preserve">Table </w:t>
      </w:r>
      <w:r w:rsidR="004D2F04">
        <w:t>A</w:t>
      </w:r>
      <w:r w:rsidRPr="00774663">
        <w:t>-</w:t>
      </w:r>
      <w:r>
        <w:t>5</w:t>
      </w:r>
      <w:r w:rsidRPr="00774663">
        <w:t xml:space="preserve">: </w:t>
      </w:r>
      <w:r>
        <w:t>ASHRAE 2% Weather Conditions for Each Weather Station</w:t>
      </w:r>
    </w:p>
    <w:tbl>
      <w:tblPr>
        <w:tblW w:w="5226" w:type="pct"/>
        <w:jc w:val="center"/>
        <w:tblLayout w:type="fixed"/>
        <w:tblLook w:val="04A0" w:firstRow="1" w:lastRow="0" w:firstColumn="1" w:lastColumn="0" w:noHBand="0" w:noVBand="1"/>
      </w:tblPr>
      <w:tblGrid>
        <w:gridCol w:w="782"/>
        <w:gridCol w:w="1752"/>
        <w:gridCol w:w="1587"/>
        <w:gridCol w:w="1836"/>
        <w:gridCol w:w="2160"/>
        <w:gridCol w:w="1892"/>
      </w:tblGrid>
      <w:tr w:rsidR="009A3834" w:rsidRPr="00B01C0D" w:rsidTr="001779E9">
        <w:trPr>
          <w:trHeight w:val="900"/>
          <w:jc w:val="center"/>
        </w:trPr>
        <w:tc>
          <w:tcPr>
            <w:tcW w:w="391" w:type="pct"/>
            <w:tcBorders>
              <w:top w:val="single" w:sz="8" w:space="0" w:color="auto"/>
              <w:left w:val="single" w:sz="8" w:space="0" w:color="auto"/>
              <w:bottom w:val="single" w:sz="4" w:space="0" w:color="auto"/>
              <w:right w:val="single" w:sz="4" w:space="0" w:color="FFFBF0"/>
            </w:tcBorders>
            <w:shd w:val="clear" w:color="000000" w:fill="1F497D" w:themeFill="text2"/>
            <w:noWrap/>
            <w:vAlign w:val="center"/>
            <w:hideMark/>
          </w:tcPr>
          <w:p w:rsidR="009A3834" w:rsidRPr="004D2F04" w:rsidRDefault="009A3834">
            <w:pPr>
              <w:pStyle w:val="TableHeader"/>
            </w:pPr>
            <w:r w:rsidRPr="004D2F04">
              <w:t>Utility</w:t>
            </w:r>
          </w:p>
        </w:tc>
        <w:tc>
          <w:tcPr>
            <w:tcW w:w="875" w:type="pct"/>
            <w:tcBorders>
              <w:top w:val="single" w:sz="4" w:space="0" w:color="auto"/>
              <w:left w:val="nil"/>
              <w:bottom w:val="single" w:sz="4" w:space="0" w:color="auto"/>
              <w:right w:val="single" w:sz="4" w:space="0" w:color="FFFBF0"/>
            </w:tcBorders>
            <w:shd w:val="clear" w:color="000000" w:fill="1F497D" w:themeFill="text2"/>
            <w:vAlign w:val="center"/>
            <w:hideMark/>
          </w:tcPr>
          <w:p w:rsidR="009A3834" w:rsidRPr="00512341" w:rsidRDefault="009A3834">
            <w:pPr>
              <w:pStyle w:val="TableHeader"/>
            </w:pPr>
            <w:r w:rsidRPr="00512341">
              <w:t>LCA</w:t>
            </w:r>
          </w:p>
        </w:tc>
        <w:tc>
          <w:tcPr>
            <w:tcW w:w="793" w:type="pct"/>
            <w:tcBorders>
              <w:top w:val="single" w:sz="4" w:space="0" w:color="auto"/>
              <w:left w:val="nil"/>
              <w:bottom w:val="single" w:sz="4" w:space="0" w:color="auto"/>
              <w:right w:val="single" w:sz="4" w:space="0" w:color="FFFBF0"/>
            </w:tcBorders>
            <w:shd w:val="clear" w:color="000000" w:fill="1F497D" w:themeFill="text2"/>
            <w:vAlign w:val="center"/>
            <w:hideMark/>
          </w:tcPr>
          <w:p w:rsidR="009A3834" w:rsidRPr="00512341" w:rsidRDefault="009A3834">
            <w:pPr>
              <w:pStyle w:val="TableHeader"/>
            </w:pPr>
            <w:r w:rsidRPr="00512341">
              <w:t>Utility Designated Weather Station</w:t>
            </w:r>
          </w:p>
        </w:tc>
        <w:tc>
          <w:tcPr>
            <w:tcW w:w="917" w:type="pct"/>
            <w:tcBorders>
              <w:top w:val="single" w:sz="4" w:space="0" w:color="auto"/>
              <w:left w:val="nil"/>
              <w:bottom w:val="single" w:sz="4" w:space="0" w:color="auto"/>
              <w:right w:val="single" w:sz="4" w:space="0" w:color="FFFBF0"/>
            </w:tcBorders>
            <w:shd w:val="clear" w:color="000000" w:fill="1F497D" w:themeFill="text2"/>
            <w:noWrap/>
            <w:vAlign w:val="center"/>
            <w:hideMark/>
          </w:tcPr>
          <w:p w:rsidR="009A3834" w:rsidRPr="00512341" w:rsidRDefault="009A3834">
            <w:pPr>
              <w:pStyle w:val="TableHeader"/>
            </w:pPr>
            <w:r w:rsidRPr="00512341">
              <w:t>ASHRAE Weather Station</w:t>
            </w:r>
          </w:p>
        </w:tc>
        <w:tc>
          <w:tcPr>
            <w:tcW w:w="1079" w:type="pct"/>
            <w:tcBorders>
              <w:top w:val="single" w:sz="4" w:space="0" w:color="auto"/>
              <w:left w:val="nil"/>
              <w:bottom w:val="single" w:sz="4" w:space="0" w:color="auto"/>
              <w:right w:val="single" w:sz="4" w:space="0" w:color="FFFBF0"/>
            </w:tcBorders>
            <w:shd w:val="clear" w:color="000000" w:fill="1F497D" w:themeFill="text2"/>
            <w:vAlign w:val="center"/>
            <w:hideMark/>
          </w:tcPr>
          <w:p w:rsidR="009A3834" w:rsidRPr="00512341" w:rsidRDefault="009A3834">
            <w:pPr>
              <w:pStyle w:val="TableHeader"/>
            </w:pPr>
            <w:r w:rsidRPr="00512341">
              <w:t>August 2% Average 12-6 PM  Temperature (*F)</w:t>
            </w:r>
          </w:p>
        </w:tc>
        <w:tc>
          <w:tcPr>
            <w:tcW w:w="945" w:type="pct"/>
            <w:tcBorders>
              <w:top w:val="single" w:sz="4" w:space="0" w:color="auto"/>
              <w:left w:val="nil"/>
              <w:bottom w:val="single" w:sz="4" w:space="0" w:color="auto"/>
              <w:right w:val="single" w:sz="4" w:space="0" w:color="auto"/>
            </w:tcBorders>
            <w:shd w:val="clear" w:color="000000" w:fill="1F497D" w:themeFill="text2"/>
            <w:vAlign w:val="center"/>
            <w:hideMark/>
          </w:tcPr>
          <w:p w:rsidR="009A3834" w:rsidRPr="00512341" w:rsidRDefault="009A3834">
            <w:pPr>
              <w:pStyle w:val="TableHeader"/>
            </w:pPr>
            <w:r w:rsidRPr="00512341">
              <w:t>August 1-in-10 Average 12-6 PM  Temperature (*F)</w:t>
            </w:r>
          </w:p>
        </w:tc>
      </w:tr>
      <w:tr w:rsidR="009A3834" w:rsidRPr="00B01C0D" w:rsidTr="001779E9">
        <w:trPr>
          <w:trHeight w:val="300"/>
          <w:jc w:val="center"/>
        </w:trPr>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PG&amp;E</w:t>
            </w:r>
          </w:p>
        </w:tc>
        <w:tc>
          <w:tcPr>
            <w:tcW w:w="875" w:type="pct"/>
            <w:tcBorders>
              <w:top w:val="nil"/>
              <w:left w:val="nil"/>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Greater Bay Area</w:t>
            </w:r>
          </w:p>
        </w:tc>
        <w:tc>
          <w:tcPr>
            <w:tcW w:w="793"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Concord</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Livermore</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97</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101</w:t>
            </w:r>
          </w:p>
        </w:tc>
      </w:tr>
      <w:tr w:rsidR="009A3834" w:rsidRPr="00B01C0D" w:rsidTr="001779E9">
        <w:trPr>
          <w:trHeight w:val="300"/>
          <w:jc w:val="center"/>
        </w:trPr>
        <w:tc>
          <w:tcPr>
            <w:tcW w:w="391" w:type="pct"/>
            <w:vMerge/>
            <w:tcBorders>
              <w:top w:val="nil"/>
              <w:left w:val="single" w:sz="4" w:space="0" w:color="auto"/>
              <w:bottom w:val="single" w:sz="4" w:space="0" w:color="auto"/>
              <w:right w:val="single" w:sz="4" w:space="0" w:color="auto"/>
            </w:tcBorders>
            <w:vAlign w:val="center"/>
            <w:hideMark/>
          </w:tcPr>
          <w:p w:rsidR="009A3834" w:rsidRPr="00806233" w:rsidRDefault="009A3834" w:rsidP="00512341">
            <w:pPr>
              <w:pStyle w:val="TableText"/>
              <w:contextualSpacing/>
            </w:pPr>
          </w:p>
        </w:tc>
        <w:tc>
          <w:tcPr>
            <w:tcW w:w="875" w:type="pct"/>
            <w:tcBorders>
              <w:top w:val="nil"/>
              <w:left w:val="nil"/>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Greater Bay Area</w:t>
            </w:r>
          </w:p>
        </w:tc>
        <w:tc>
          <w:tcPr>
            <w:tcW w:w="793"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Milpitas</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Mountain View/Moffett</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83</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93</w:t>
            </w:r>
          </w:p>
        </w:tc>
      </w:tr>
      <w:tr w:rsidR="009A3834" w:rsidRPr="00B01C0D" w:rsidTr="001779E9">
        <w:trPr>
          <w:trHeight w:val="300"/>
          <w:jc w:val="center"/>
        </w:trPr>
        <w:tc>
          <w:tcPr>
            <w:tcW w:w="391" w:type="pct"/>
            <w:vMerge/>
            <w:tcBorders>
              <w:top w:val="nil"/>
              <w:left w:val="single" w:sz="4" w:space="0" w:color="auto"/>
              <w:bottom w:val="single" w:sz="4" w:space="0" w:color="auto"/>
              <w:right w:val="single" w:sz="4" w:space="0" w:color="auto"/>
            </w:tcBorders>
            <w:vAlign w:val="center"/>
            <w:hideMark/>
          </w:tcPr>
          <w:p w:rsidR="009A3834" w:rsidRPr="00806233" w:rsidRDefault="009A3834" w:rsidP="00512341">
            <w:pPr>
              <w:pStyle w:val="TableText"/>
              <w:contextualSpacing/>
            </w:pPr>
          </w:p>
        </w:tc>
        <w:tc>
          <w:tcPr>
            <w:tcW w:w="875" w:type="pct"/>
            <w:tcBorders>
              <w:top w:val="nil"/>
              <w:left w:val="nil"/>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Greater Bay Area</w:t>
            </w:r>
          </w:p>
        </w:tc>
        <w:tc>
          <w:tcPr>
            <w:tcW w:w="793"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Cupertino</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San Jose Intl</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90</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95</w:t>
            </w:r>
          </w:p>
        </w:tc>
      </w:tr>
      <w:tr w:rsidR="009A3834" w:rsidRPr="00B01C0D" w:rsidTr="001779E9">
        <w:trPr>
          <w:trHeight w:val="300"/>
          <w:jc w:val="center"/>
        </w:trPr>
        <w:tc>
          <w:tcPr>
            <w:tcW w:w="391" w:type="pct"/>
            <w:vMerge/>
            <w:tcBorders>
              <w:top w:val="nil"/>
              <w:left w:val="single" w:sz="4" w:space="0" w:color="auto"/>
              <w:bottom w:val="single" w:sz="4" w:space="0" w:color="auto"/>
              <w:right w:val="single" w:sz="4" w:space="0" w:color="auto"/>
            </w:tcBorders>
            <w:vAlign w:val="center"/>
            <w:hideMark/>
          </w:tcPr>
          <w:p w:rsidR="009A3834" w:rsidRPr="00806233" w:rsidRDefault="009A3834" w:rsidP="00512341">
            <w:pPr>
              <w:pStyle w:val="TableText"/>
              <w:contextualSpacing/>
            </w:pPr>
          </w:p>
        </w:tc>
        <w:tc>
          <w:tcPr>
            <w:tcW w:w="875" w:type="pct"/>
            <w:tcBorders>
              <w:top w:val="nil"/>
              <w:left w:val="nil"/>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Greater Bay Area</w:t>
            </w:r>
          </w:p>
        </w:tc>
        <w:tc>
          <w:tcPr>
            <w:tcW w:w="793"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San Ramon</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Livermore</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97</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99</w:t>
            </w:r>
          </w:p>
        </w:tc>
      </w:tr>
      <w:tr w:rsidR="009A3834" w:rsidRPr="00B01C0D" w:rsidTr="001779E9">
        <w:trPr>
          <w:trHeight w:val="300"/>
          <w:jc w:val="center"/>
        </w:trPr>
        <w:tc>
          <w:tcPr>
            <w:tcW w:w="391" w:type="pct"/>
            <w:vMerge/>
            <w:tcBorders>
              <w:top w:val="nil"/>
              <w:left w:val="single" w:sz="4" w:space="0" w:color="auto"/>
              <w:bottom w:val="single" w:sz="4" w:space="0" w:color="auto"/>
              <w:right w:val="single" w:sz="4" w:space="0" w:color="auto"/>
            </w:tcBorders>
            <w:vAlign w:val="center"/>
            <w:hideMark/>
          </w:tcPr>
          <w:p w:rsidR="009A3834" w:rsidRPr="00806233" w:rsidRDefault="009A3834" w:rsidP="00512341">
            <w:pPr>
              <w:pStyle w:val="TableText"/>
              <w:contextualSpacing/>
            </w:pPr>
          </w:p>
        </w:tc>
        <w:tc>
          <w:tcPr>
            <w:tcW w:w="875" w:type="pct"/>
            <w:tcBorders>
              <w:top w:val="nil"/>
              <w:left w:val="nil"/>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Greater Fresno</w:t>
            </w:r>
          </w:p>
        </w:tc>
        <w:tc>
          <w:tcPr>
            <w:tcW w:w="793"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Fresno</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Fresno Yosemite</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103</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110</w:t>
            </w:r>
          </w:p>
        </w:tc>
      </w:tr>
      <w:tr w:rsidR="009A3834" w:rsidRPr="00B01C0D" w:rsidTr="001779E9">
        <w:trPr>
          <w:trHeight w:val="300"/>
          <w:jc w:val="center"/>
        </w:trPr>
        <w:tc>
          <w:tcPr>
            <w:tcW w:w="391" w:type="pct"/>
            <w:vMerge/>
            <w:tcBorders>
              <w:top w:val="nil"/>
              <w:left w:val="single" w:sz="4" w:space="0" w:color="auto"/>
              <w:bottom w:val="single" w:sz="4" w:space="0" w:color="auto"/>
              <w:right w:val="single" w:sz="4" w:space="0" w:color="auto"/>
            </w:tcBorders>
            <w:vAlign w:val="center"/>
            <w:hideMark/>
          </w:tcPr>
          <w:p w:rsidR="009A3834" w:rsidRPr="00806233" w:rsidRDefault="009A3834" w:rsidP="00512341">
            <w:pPr>
              <w:pStyle w:val="TableText"/>
              <w:contextualSpacing/>
            </w:pPr>
          </w:p>
        </w:tc>
        <w:tc>
          <w:tcPr>
            <w:tcW w:w="875" w:type="pct"/>
            <w:tcBorders>
              <w:top w:val="nil"/>
              <w:left w:val="nil"/>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Humboldt</w:t>
            </w:r>
          </w:p>
        </w:tc>
        <w:tc>
          <w:tcPr>
            <w:tcW w:w="793"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Eureka</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Eureka</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67</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69</w:t>
            </w:r>
          </w:p>
        </w:tc>
      </w:tr>
      <w:tr w:rsidR="009A3834" w:rsidRPr="00B01C0D" w:rsidTr="001779E9">
        <w:trPr>
          <w:trHeight w:val="300"/>
          <w:jc w:val="center"/>
        </w:trPr>
        <w:tc>
          <w:tcPr>
            <w:tcW w:w="391" w:type="pct"/>
            <w:vMerge/>
            <w:tcBorders>
              <w:top w:val="nil"/>
              <w:left w:val="single" w:sz="4" w:space="0" w:color="auto"/>
              <w:bottom w:val="single" w:sz="4" w:space="0" w:color="auto"/>
              <w:right w:val="single" w:sz="4" w:space="0" w:color="auto"/>
            </w:tcBorders>
            <w:vAlign w:val="center"/>
            <w:hideMark/>
          </w:tcPr>
          <w:p w:rsidR="009A3834" w:rsidRPr="00806233" w:rsidRDefault="009A3834" w:rsidP="00512341">
            <w:pPr>
              <w:pStyle w:val="TableText"/>
              <w:contextualSpacing/>
            </w:pPr>
          </w:p>
        </w:tc>
        <w:tc>
          <w:tcPr>
            <w:tcW w:w="875" w:type="pct"/>
            <w:tcBorders>
              <w:top w:val="nil"/>
              <w:left w:val="nil"/>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Kern</w:t>
            </w:r>
          </w:p>
        </w:tc>
        <w:tc>
          <w:tcPr>
            <w:tcW w:w="793"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Bakersfield</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Bakersfield Meadows</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103</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108</w:t>
            </w:r>
          </w:p>
        </w:tc>
      </w:tr>
      <w:tr w:rsidR="009A3834" w:rsidRPr="00B01C0D" w:rsidTr="001779E9">
        <w:trPr>
          <w:trHeight w:val="300"/>
          <w:jc w:val="center"/>
        </w:trPr>
        <w:tc>
          <w:tcPr>
            <w:tcW w:w="391" w:type="pct"/>
            <w:vMerge/>
            <w:tcBorders>
              <w:top w:val="nil"/>
              <w:left w:val="single" w:sz="4" w:space="0" w:color="auto"/>
              <w:bottom w:val="single" w:sz="4" w:space="0" w:color="auto"/>
              <w:right w:val="single" w:sz="4" w:space="0" w:color="auto"/>
            </w:tcBorders>
            <w:vAlign w:val="center"/>
            <w:hideMark/>
          </w:tcPr>
          <w:p w:rsidR="009A3834" w:rsidRPr="00806233" w:rsidRDefault="009A3834" w:rsidP="00512341">
            <w:pPr>
              <w:pStyle w:val="TableText"/>
              <w:contextualSpacing/>
            </w:pPr>
          </w:p>
        </w:tc>
        <w:tc>
          <w:tcPr>
            <w:tcW w:w="875" w:type="pct"/>
            <w:tcBorders>
              <w:top w:val="nil"/>
              <w:left w:val="nil"/>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Northern Coast</w:t>
            </w:r>
          </w:p>
        </w:tc>
        <w:tc>
          <w:tcPr>
            <w:tcW w:w="793"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Sacramento</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Sacramento Met</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100</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104</w:t>
            </w:r>
          </w:p>
        </w:tc>
      </w:tr>
      <w:tr w:rsidR="009A3834" w:rsidRPr="00B01C0D" w:rsidTr="001779E9">
        <w:trPr>
          <w:trHeight w:val="300"/>
          <w:jc w:val="center"/>
        </w:trPr>
        <w:tc>
          <w:tcPr>
            <w:tcW w:w="391" w:type="pct"/>
            <w:vMerge/>
            <w:tcBorders>
              <w:top w:val="nil"/>
              <w:left w:val="single" w:sz="4" w:space="0" w:color="auto"/>
              <w:bottom w:val="single" w:sz="4" w:space="0" w:color="auto"/>
              <w:right w:val="single" w:sz="4" w:space="0" w:color="auto"/>
            </w:tcBorders>
            <w:vAlign w:val="center"/>
            <w:hideMark/>
          </w:tcPr>
          <w:p w:rsidR="009A3834" w:rsidRPr="00806233" w:rsidRDefault="009A3834" w:rsidP="00512341">
            <w:pPr>
              <w:pStyle w:val="TableText"/>
              <w:contextualSpacing/>
            </w:pPr>
          </w:p>
        </w:tc>
        <w:tc>
          <w:tcPr>
            <w:tcW w:w="875" w:type="pct"/>
            <w:tcBorders>
              <w:top w:val="nil"/>
              <w:left w:val="nil"/>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Northern Coast</w:t>
            </w:r>
          </w:p>
        </w:tc>
        <w:tc>
          <w:tcPr>
            <w:tcW w:w="793"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Santa Rosa</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Santa Rosa AWOS</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92</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92</w:t>
            </w:r>
          </w:p>
        </w:tc>
      </w:tr>
      <w:tr w:rsidR="009A3834" w:rsidRPr="00B01C0D" w:rsidTr="001779E9">
        <w:trPr>
          <w:trHeight w:val="300"/>
          <w:jc w:val="center"/>
        </w:trPr>
        <w:tc>
          <w:tcPr>
            <w:tcW w:w="391" w:type="pct"/>
            <w:vMerge/>
            <w:tcBorders>
              <w:top w:val="nil"/>
              <w:left w:val="single" w:sz="4" w:space="0" w:color="auto"/>
              <w:bottom w:val="single" w:sz="4" w:space="0" w:color="auto"/>
              <w:right w:val="single" w:sz="4" w:space="0" w:color="auto"/>
            </w:tcBorders>
            <w:vAlign w:val="center"/>
            <w:hideMark/>
          </w:tcPr>
          <w:p w:rsidR="009A3834" w:rsidRPr="00806233" w:rsidRDefault="009A3834" w:rsidP="00512341">
            <w:pPr>
              <w:pStyle w:val="TableText"/>
              <w:contextualSpacing/>
            </w:pPr>
          </w:p>
        </w:tc>
        <w:tc>
          <w:tcPr>
            <w:tcW w:w="875" w:type="pct"/>
            <w:tcBorders>
              <w:top w:val="nil"/>
              <w:left w:val="nil"/>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Other</w:t>
            </w:r>
          </w:p>
        </w:tc>
        <w:tc>
          <w:tcPr>
            <w:tcW w:w="793"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Salinas</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Salinas Muni</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76</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73</w:t>
            </w:r>
          </w:p>
        </w:tc>
      </w:tr>
      <w:tr w:rsidR="009A3834" w:rsidRPr="00B01C0D" w:rsidTr="001779E9">
        <w:trPr>
          <w:trHeight w:val="300"/>
          <w:jc w:val="center"/>
        </w:trPr>
        <w:tc>
          <w:tcPr>
            <w:tcW w:w="391" w:type="pct"/>
            <w:vMerge/>
            <w:tcBorders>
              <w:top w:val="nil"/>
              <w:left w:val="single" w:sz="4" w:space="0" w:color="auto"/>
              <w:bottom w:val="single" w:sz="4" w:space="0" w:color="auto"/>
              <w:right w:val="single" w:sz="4" w:space="0" w:color="auto"/>
            </w:tcBorders>
            <w:vAlign w:val="center"/>
            <w:hideMark/>
          </w:tcPr>
          <w:p w:rsidR="009A3834" w:rsidRPr="00806233" w:rsidRDefault="009A3834" w:rsidP="00512341">
            <w:pPr>
              <w:pStyle w:val="TableText"/>
              <w:contextualSpacing/>
            </w:pPr>
          </w:p>
        </w:tc>
        <w:tc>
          <w:tcPr>
            <w:tcW w:w="875" w:type="pct"/>
            <w:tcBorders>
              <w:top w:val="nil"/>
              <w:left w:val="nil"/>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Sierra</w:t>
            </w:r>
          </w:p>
        </w:tc>
        <w:tc>
          <w:tcPr>
            <w:tcW w:w="793"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Auburn</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Beale AFB</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100</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95</w:t>
            </w:r>
          </w:p>
        </w:tc>
      </w:tr>
      <w:tr w:rsidR="009A3834" w:rsidRPr="00B01C0D" w:rsidTr="001779E9">
        <w:trPr>
          <w:trHeight w:val="300"/>
          <w:jc w:val="center"/>
        </w:trPr>
        <w:tc>
          <w:tcPr>
            <w:tcW w:w="391" w:type="pct"/>
            <w:vMerge/>
            <w:tcBorders>
              <w:top w:val="nil"/>
              <w:left w:val="single" w:sz="4" w:space="0" w:color="auto"/>
              <w:bottom w:val="single" w:sz="4" w:space="0" w:color="auto"/>
              <w:right w:val="single" w:sz="4" w:space="0" w:color="auto"/>
            </w:tcBorders>
            <w:vAlign w:val="center"/>
            <w:hideMark/>
          </w:tcPr>
          <w:p w:rsidR="009A3834" w:rsidRPr="00806233" w:rsidRDefault="009A3834" w:rsidP="00512341">
            <w:pPr>
              <w:pStyle w:val="TableText"/>
              <w:contextualSpacing/>
            </w:pPr>
          </w:p>
        </w:tc>
        <w:tc>
          <w:tcPr>
            <w:tcW w:w="875" w:type="pct"/>
            <w:tcBorders>
              <w:top w:val="nil"/>
              <w:left w:val="nil"/>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Stockton</w:t>
            </w:r>
          </w:p>
        </w:tc>
        <w:tc>
          <w:tcPr>
            <w:tcW w:w="793"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Stockton</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Stockton Metro</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100</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103</w:t>
            </w:r>
          </w:p>
        </w:tc>
      </w:tr>
      <w:tr w:rsidR="009A3834" w:rsidRPr="00B01C0D" w:rsidTr="001779E9">
        <w:trPr>
          <w:trHeight w:val="300"/>
          <w:jc w:val="center"/>
        </w:trPr>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SCE</w:t>
            </w:r>
          </w:p>
        </w:tc>
        <w:tc>
          <w:tcPr>
            <w:tcW w:w="875" w:type="pct"/>
            <w:tcBorders>
              <w:top w:val="nil"/>
              <w:left w:val="nil"/>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LA Basin</w:t>
            </w:r>
          </w:p>
        </w:tc>
        <w:tc>
          <w:tcPr>
            <w:tcW w:w="793"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173</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El Toro MCAS</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91</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90</w:t>
            </w:r>
          </w:p>
        </w:tc>
      </w:tr>
      <w:tr w:rsidR="009A3834" w:rsidRPr="00B01C0D" w:rsidTr="001779E9">
        <w:trPr>
          <w:trHeight w:val="300"/>
          <w:jc w:val="center"/>
        </w:trPr>
        <w:tc>
          <w:tcPr>
            <w:tcW w:w="391" w:type="pct"/>
            <w:vMerge/>
            <w:tcBorders>
              <w:top w:val="nil"/>
              <w:left w:val="single" w:sz="4" w:space="0" w:color="auto"/>
              <w:bottom w:val="single" w:sz="4" w:space="0" w:color="auto"/>
              <w:right w:val="single" w:sz="4" w:space="0" w:color="auto"/>
            </w:tcBorders>
            <w:vAlign w:val="center"/>
            <w:hideMark/>
          </w:tcPr>
          <w:p w:rsidR="009A3834" w:rsidRPr="00806233" w:rsidRDefault="009A3834" w:rsidP="00512341">
            <w:pPr>
              <w:pStyle w:val="TableText"/>
              <w:contextualSpacing/>
            </w:pPr>
          </w:p>
        </w:tc>
        <w:tc>
          <w:tcPr>
            <w:tcW w:w="875" w:type="pct"/>
            <w:tcBorders>
              <w:top w:val="nil"/>
              <w:left w:val="nil"/>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Outside LA</w:t>
            </w:r>
          </w:p>
        </w:tc>
        <w:tc>
          <w:tcPr>
            <w:tcW w:w="793"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132</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Burbank-Glendale-Pasadena</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97</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102</w:t>
            </w:r>
          </w:p>
        </w:tc>
      </w:tr>
      <w:tr w:rsidR="009A3834" w:rsidRPr="00B01C0D" w:rsidTr="001779E9">
        <w:trPr>
          <w:trHeight w:val="300"/>
          <w:jc w:val="center"/>
        </w:trPr>
        <w:tc>
          <w:tcPr>
            <w:tcW w:w="391" w:type="pct"/>
            <w:vMerge/>
            <w:tcBorders>
              <w:top w:val="nil"/>
              <w:left w:val="single" w:sz="4" w:space="0" w:color="auto"/>
              <w:bottom w:val="single" w:sz="4" w:space="0" w:color="auto"/>
              <w:right w:val="single" w:sz="4" w:space="0" w:color="auto"/>
            </w:tcBorders>
            <w:vAlign w:val="center"/>
            <w:hideMark/>
          </w:tcPr>
          <w:p w:rsidR="009A3834" w:rsidRPr="00806233" w:rsidRDefault="009A3834" w:rsidP="00512341">
            <w:pPr>
              <w:pStyle w:val="TableText"/>
              <w:contextualSpacing/>
            </w:pPr>
          </w:p>
        </w:tc>
        <w:tc>
          <w:tcPr>
            <w:tcW w:w="875" w:type="pct"/>
            <w:tcBorders>
              <w:top w:val="nil"/>
              <w:left w:val="nil"/>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Ventura</w:t>
            </w:r>
          </w:p>
        </w:tc>
        <w:tc>
          <w:tcPr>
            <w:tcW w:w="793"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193</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Lancaster</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102</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99</w:t>
            </w:r>
          </w:p>
        </w:tc>
      </w:tr>
      <w:tr w:rsidR="009A3834" w:rsidRPr="00B01C0D" w:rsidTr="001779E9">
        <w:trPr>
          <w:trHeight w:val="300"/>
          <w:jc w:val="center"/>
        </w:trPr>
        <w:tc>
          <w:tcPr>
            <w:tcW w:w="1266" w:type="pct"/>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9A3834" w:rsidRPr="00806233" w:rsidRDefault="009A3834" w:rsidP="00512341">
            <w:pPr>
              <w:pStyle w:val="TableText"/>
              <w:contextualSpacing/>
            </w:pPr>
            <w:r w:rsidRPr="0094629C">
              <w:t>SDG&amp;E</w:t>
            </w:r>
          </w:p>
        </w:tc>
        <w:tc>
          <w:tcPr>
            <w:tcW w:w="793"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Lindbergh Field</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San Diego Lindbergh Field</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82</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81</w:t>
            </w:r>
          </w:p>
        </w:tc>
      </w:tr>
      <w:tr w:rsidR="009A3834" w:rsidRPr="00B01C0D" w:rsidTr="001779E9">
        <w:trPr>
          <w:trHeight w:val="300"/>
          <w:jc w:val="center"/>
        </w:trPr>
        <w:tc>
          <w:tcPr>
            <w:tcW w:w="1266" w:type="pct"/>
            <w:gridSpan w:val="2"/>
            <w:vMerge/>
            <w:tcBorders>
              <w:top w:val="single" w:sz="4" w:space="0" w:color="auto"/>
              <w:left w:val="single" w:sz="4" w:space="0" w:color="auto"/>
              <w:bottom w:val="single" w:sz="4" w:space="0" w:color="000000"/>
              <w:right w:val="single" w:sz="4" w:space="0" w:color="000000"/>
            </w:tcBorders>
            <w:vAlign w:val="center"/>
            <w:hideMark/>
          </w:tcPr>
          <w:p w:rsidR="009A3834" w:rsidRDefault="009A3834" w:rsidP="00512341">
            <w:pPr>
              <w:pStyle w:val="TableText"/>
              <w:contextualSpacing/>
            </w:pPr>
          </w:p>
        </w:tc>
        <w:tc>
          <w:tcPr>
            <w:tcW w:w="793" w:type="pct"/>
            <w:tcBorders>
              <w:top w:val="nil"/>
              <w:left w:val="nil"/>
              <w:bottom w:val="single" w:sz="4" w:space="0" w:color="auto"/>
              <w:right w:val="single" w:sz="4" w:space="0" w:color="auto"/>
            </w:tcBorders>
            <w:shd w:val="clear" w:color="auto" w:fill="auto"/>
            <w:noWrap/>
            <w:vAlign w:val="center"/>
            <w:hideMark/>
          </w:tcPr>
          <w:p w:rsidR="009A3834" w:rsidRPr="00806233" w:rsidRDefault="009A3834" w:rsidP="00512341">
            <w:pPr>
              <w:pStyle w:val="TableText"/>
              <w:contextualSpacing/>
            </w:pPr>
            <w:r w:rsidRPr="0094629C">
              <w:t>Miramar</w:t>
            </w:r>
          </w:p>
        </w:tc>
        <w:tc>
          <w:tcPr>
            <w:tcW w:w="917"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San Diego Miramar NAS</w:t>
            </w:r>
          </w:p>
        </w:tc>
        <w:tc>
          <w:tcPr>
            <w:tcW w:w="1079"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88</w:t>
            </w:r>
          </w:p>
        </w:tc>
        <w:tc>
          <w:tcPr>
            <w:tcW w:w="945" w:type="pct"/>
            <w:tcBorders>
              <w:top w:val="nil"/>
              <w:left w:val="nil"/>
              <w:bottom w:val="single" w:sz="4" w:space="0" w:color="auto"/>
              <w:right w:val="single" w:sz="4" w:space="0" w:color="auto"/>
            </w:tcBorders>
            <w:shd w:val="clear" w:color="auto" w:fill="auto"/>
            <w:noWrap/>
            <w:vAlign w:val="center"/>
            <w:hideMark/>
          </w:tcPr>
          <w:p w:rsidR="009A3834" w:rsidRDefault="009A3834" w:rsidP="00512341">
            <w:pPr>
              <w:pStyle w:val="TableText"/>
              <w:contextualSpacing/>
            </w:pPr>
            <w:r w:rsidRPr="0094629C">
              <w:t>87</w:t>
            </w:r>
          </w:p>
        </w:tc>
      </w:tr>
    </w:tbl>
    <w:p w:rsidR="001779E9" w:rsidRDefault="00F951A5" w:rsidP="001779E9">
      <w:pPr>
        <w:pStyle w:val="BodyParaAfterTableFigure"/>
        <w:sectPr w:rsidR="001779E9" w:rsidSect="00B24EF7">
          <w:headerReference w:type="default" r:id="rId42"/>
          <w:footerReference w:type="default" r:id="rId43"/>
          <w:pgSz w:w="12240" w:h="15840"/>
          <w:pgMar w:top="1440" w:right="1440" w:bottom="1440" w:left="1440" w:header="720" w:footer="720" w:gutter="0"/>
          <w:cols w:space="720"/>
          <w:docGrid w:linePitch="360"/>
        </w:sectPr>
      </w:pPr>
      <w:r>
        <w:lastRenderedPageBreak/>
        <w:t xml:space="preserve">The output from the DRQAT is the estimated chiller load for each hour of the day under each of the above conditions.  Since these estimates are for a representative building, they do not necessarily bear any relation to the projected peak shifting values from the enrollment forecast.  Nexant then took the ratio of the DRQAT predicted loads under each set of ex ante conditions to the DRQAT predicted loads under the ASHRAE 2% conditions.  </w:t>
      </w:r>
      <w:r w:rsidR="001822D4">
        <w:t xml:space="preserve">These ratios were used as the conversion factors described in Section 3.  </w:t>
      </w:r>
      <w:r>
        <w:t xml:space="preserve">Table </w:t>
      </w:r>
      <w:r w:rsidR="004D2F04">
        <w:t>A</w:t>
      </w:r>
      <w:r>
        <w:t xml:space="preserve">-6 shows these </w:t>
      </w:r>
      <w:r w:rsidR="001822D4">
        <w:t xml:space="preserve">conversion factors </w:t>
      </w:r>
      <w:r>
        <w:t>for each set of ex ante conditions for each weather station</w:t>
      </w:r>
      <w:r w:rsidR="001822D4">
        <w:t>.  The table shows that the conversion factors</w:t>
      </w:r>
      <w:r>
        <w:t xml:space="preserve"> follow the</w:t>
      </w:r>
      <w:r w:rsidR="001822D4">
        <w:t xml:space="preserve"> expected pattern, with higher values</w:t>
      </w:r>
      <w:r>
        <w:t xml:space="preserve"> in the summer and lower in the spring and fall.  Also, 1-in-10 conditions almost always have higher ratios than</w:t>
      </w:r>
      <w:r w:rsidR="00761077">
        <w:t> </w:t>
      </w:r>
      <w:r w:rsidR="001822D4">
        <w:t>1-in-2 conditions, as expected.</w:t>
      </w:r>
    </w:p>
    <w:p w:rsidR="009A3834" w:rsidRPr="00774663" w:rsidRDefault="009A3834" w:rsidP="009A3834">
      <w:pPr>
        <w:pStyle w:val="TableFigureCaption"/>
      </w:pPr>
      <w:r w:rsidRPr="00774663">
        <w:lastRenderedPageBreak/>
        <w:t xml:space="preserve">Table </w:t>
      </w:r>
      <w:r w:rsidR="00761077">
        <w:t>A</w:t>
      </w:r>
      <w:r w:rsidRPr="00774663">
        <w:t>-</w:t>
      </w:r>
      <w:r>
        <w:t>6</w:t>
      </w:r>
      <w:r w:rsidRPr="00774663">
        <w:t xml:space="preserve">: </w:t>
      </w:r>
      <w:r w:rsidR="001822D4">
        <w:t>Summary of Ex Ante Conversion Factors</w:t>
      </w:r>
      <w:r w:rsidR="008B0F95">
        <w:t xml:space="preserve"> for 1-in-2 and 1-in-10 Monthly System Peak days</w:t>
      </w:r>
      <w:r w:rsidR="001822D4">
        <w:br/>
        <w:t>(</w:t>
      </w:r>
      <w:r>
        <w:t>Ratios between Peak Usage under Ex Ante Conditions and Peak Usage under ASHRAE 2% Conditions</w:t>
      </w:r>
      <w:r w:rsidR="001822D4">
        <w:t>)</w:t>
      </w:r>
    </w:p>
    <w:tbl>
      <w:tblPr>
        <w:tblW w:w="5301" w:type="pct"/>
        <w:tblInd w:w="-792" w:type="dxa"/>
        <w:tblLook w:val="04A0" w:firstRow="1" w:lastRow="0" w:firstColumn="1" w:lastColumn="0" w:noHBand="0" w:noVBand="1"/>
      </w:tblPr>
      <w:tblGrid>
        <w:gridCol w:w="728"/>
        <w:gridCol w:w="1610"/>
        <w:gridCol w:w="1587"/>
        <w:gridCol w:w="698"/>
        <w:gridCol w:w="800"/>
        <w:gridCol w:w="698"/>
        <w:gridCol w:w="800"/>
        <w:gridCol w:w="698"/>
        <w:gridCol w:w="800"/>
        <w:gridCol w:w="698"/>
        <w:gridCol w:w="800"/>
        <w:gridCol w:w="698"/>
        <w:gridCol w:w="800"/>
        <w:gridCol w:w="698"/>
        <w:gridCol w:w="800"/>
        <w:gridCol w:w="698"/>
        <w:gridCol w:w="800"/>
      </w:tblGrid>
      <w:tr w:rsidR="009A3834" w:rsidRPr="004154EC" w:rsidTr="002F0D62">
        <w:trPr>
          <w:trHeight w:val="315"/>
        </w:trPr>
        <w:tc>
          <w:tcPr>
            <w:tcW w:w="333" w:type="pct"/>
            <w:vMerge w:val="restart"/>
            <w:tcBorders>
              <w:top w:val="single" w:sz="8" w:space="0" w:color="auto"/>
              <w:left w:val="single" w:sz="8" w:space="0" w:color="auto"/>
              <w:bottom w:val="nil"/>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Utility</w:t>
            </w:r>
          </w:p>
        </w:tc>
        <w:tc>
          <w:tcPr>
            <w:tcW w:w="523" w:type="pct"/>
            <w:vMerge w:val="restart"/>
            <w:tcBorders>
              <w:top w:val="single" w:sz="8" w:space="0" w:color="auto"/>
              <w:left w:val="single" w:sz="4" w:space="0" w:color="FFFFFF" w:themeColor="background1"/>
              <w:bottom w:val="nil"/>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LCA</w:t>
            </w:r>
          </w:p>
        </w:tc>
        <w:tc>
          <w:tcPr>
            <w:tcW w:w="513" w:type="pct"/>
            <w:vMerge w:val="restart"/>
            <w:tcBorders>
              <w:top w:val="single" w:sz="8" w:space="0" w:color="auto"/>
              <w:left w:val="single" w:sz="4" w:space="0" w:color="FFFFFF" w:themeColor="background1"/>
              <w:bottom w:val="single" w:sz="4" w:space="0" w:color="000000"/>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Weather Station</w:t>
            </w:r>
          </w:p>
        </w:tc>
        <w:tc>
          <w:tcPr>
            <w:tcW w:w="519" w:type="pct"/>
            <w:gridSpan w:val="2"/>
            <w:tcBorders>
              <w:top w:val="single" w:sz="8" w:space="0" w:color="auto"/>
              <w:left w:val="single" w:sz="4" w:space="0" w:color="FFFFFF" w:themeColor="background1"/>
              <w:bottom w:val="single" w:sz="4" w:space="0" w:color="FFFFFF" w:themeColor="background1"/>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April</w:t>
            </w:r>
          </w:p>
        </w:tc>
        <w:tc>
          <w:tcPr>
            <w:tcW w:w="519" w:type="pct"/>
            <w:gridSpan w:val="2"/>
            <w:tcBorders>
              <w:top w:val="single" w:sz="8" w:space="0" w:color="auto"/>
              <w:left w:val="single" w:sz="4" w:space="0" w:color="FFFFFF" w:themeColor="background1"/>
              <w:bottom w:val="single" w:sz="4" w:space="0" w:color="FFFFFF" w:themeColor="background1"/>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May</w:t>
            </w:r>
          </w:p>
        </w:tc>
        <w:tc>
          <w:tcPr>
            <w:tcW w:w="519" w:type="pct"/>
            <w:gridSpan w:val="2"/>
            <w:tcBorders>
              <w:top w:val="single" w:sz="8" w:space="0" w:color="auto"/>
              <w:left w:val="single" w:sz="4" w:space="0" w:color="FFFFFF" w:themeColor="background1"/>
              <w:bottom w:val="single" w:sz="4" w:space="0" w:color="FFFFFF" w:themeColor="background1"/>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June</w:t>
            </w:r>
          </w:p>
        </w:tc>
        <w:tc>
          <w:tcPr>
            <w:tcW w:w="519" w:type="pct"/>
            <w:gridSpan w:val="2"/>
            <w:tcBorders>
              <w:top w:val="single" w:sz="8" w:space="0" w:color="auto"/>
              <w:left w:val="single" w:sz="4" w:space="0" w:color="FFFFFF" w:themeColor="background1"/>
              <w:bottom w:val="single" w:sz="4" w:space="0" w:color="FFFFFF" w:themeColor="background1"/>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July</w:t>
            </w:r>
          </w:p>
        </w:tc>
        <w:tc>
          <w:tcPr>
            <w:tcW w:w="519" w:type="pct"/>
            <w:gridSpan w:val="2"/>
            <w:tcBorders>
              <w:top w:val="single" w:sz="8" w:space="0" w:color="auto"/>
              <w:left w:val="single" w:sz="4" w:space="0" w:color="FFFFFF" w:themeColor="background1"/>
              <w:bottom w:val="single" w:sz="4" w:space="0" w:color="FFFFFF" w:themeColor="background1"/>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August</w:t>
            </w:r>
          </w:p>
        </w:tc>
        <w:tc>
          <w:tcPr>
            <w:tcW w:w="519" w:type="pct"/>
            <w:gridSpan w:val="2"/>
            <w:tcBorders>
              <w:top w:val="single" w:sz="8" w:space="0" w:color="auto"/>
              <w:left w:val="single" w:sz="4" w:space="0" w:color="FFFFFF" w:themeColor="background1"/>
              <w:bottom w:val="single" w:sz="4" w:space="0" w:color="FFFFFF" w:themeColor="background1"/>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September</w:t>
            </w:r>
          </w:p>
        </w:tc>
        <w:tc>
          <w:tcPr>
            <w:tcW w:w="519" w:type="pct"/>
            <w:gridSpan w:val="2"/>
            <w:tcBorders>
              <w:top w:val="single" w:sz="8" w:space="0" w:color="auto"/>
              <w:left w:val="single" w:sz="4" w:space="0" w:color="FFFFFF" w:themeColor="background1"/>
              <w:bottom w:val="single" w:sz="4" w:space="0" w:color="FFFFFF" w:themeColor="background1"/>
              <w:right w:val="single" w:sz="8" w:space="0" w:color="000000"/>
            </w:tcBorders>
            <w:shd w:val="clear" w:color="auto" w:fill="1F497D"/>
            <w:noWrap/>
            <w:vAlign w:val="center"/>
            <w:hideMark/>
          </w:tcPr>
          <w:p w:rsidR="009A3834" w:rsidRPr="003B47CB" w:rsidRDefault="009A3834" w:rsidP="002F0D62">
            <w:pPr>
              <w:pStyle w:val="TableHeader"/>
            </w:pPr>
            <w:r w:rsidRPr="003B47CB">
              <w:t>October</w:t>
            </w:r>
          </w:p>
        </w:tc>
      </w:tr>
      <w:tr w:rsidR="009A3834" w:rsidRPr="004154EC" w:rsidTr="002F0D62">
        <w:trPr>
          <w:trHeight w:val="300"/>
        </w:trPr>
        <w:tc>
          <w:tcPr>
            <w:tcW w:w="333" w:type="pct"/>
            <w:vMerge/>
            <w:tcBorders>
              <w:top w:val="single" w:sz="8" w:space="0" w:color="auto"/>
              <w:left w:val="single" w:sz="8" w:space="0" w:color="auto"/>
              <w:bottom w:val="nil"/>
              <w:right w:val="single" w:sz="4" w:space="0" w:color="FFFFFF" w:themeColor="background1"/>
            </w:tcBorders>
            <w:shd w:val="clear" w:color="auto" w:fill="1F497D"/>
            <w:vAlign w:val="center"/>
            <w:hideMark/>
          </w:tcPr>
          <w:p w:rsidR="009A3834" w:rsidRPr="003B47CB" w:rsidRDefault="009A3834" w:rsidP="002F0D62">
            <w:pPr>
              <w:pStyle w:val="TableHeader"/>
            </w:pPr>
          </w:p>
        </w:tc>
        <w:tc>
          <w:tcPr>
            <w:tcW w:w="523" w:type="pct"/>
            <w:vMerge/>
            <w:tcBorders>
              <w:top w:val="single" w:sz="8" w:space="0" w:color="auto"/>
              <w:left w:val="single" w:sz="4" w:space="0" w:color="FFFFFF" w:themeColor="background1"/>
              <w:bottom w:val="nil"/>
              <w:right w:val="single" w:sz="4" w:space="0" w:color="FFFFFF" w:themeColor="background1"/>
            </w:tcBorders>
            <w:shd w:val="clear" w:color="auto" w:fill="1F497D"/>
            <w:vAlign w:val="center"/>
            <w:hideMark/>
          </w:tcPr>
          <w:p w:rsidR="009A3834" w:rsidRPr="003B47CB" w:rsidRDefault="009A3834" w:rsidP="002F0D62">
            <w:pPr>
              <w:pStyle w:val="TableHeader"/>
            </w:pPr>
          </w:p>
        </w:tc>
        <w:tc>
          <w:tcPr>
            <w:tcW w:w="513" w:type="pct"/>
            <w:vMerge/>
            <w:tcBorders>
              <w:top w:val="single" w:sz="8" w:space="0" w:color="auto"/>
              <w:left w:val="single" w:sz="4" w:space="0" w:color="FFFFFF" w:themeColor="background1"/>
              <w:bottom w:val="single" w:sz="4" w:space="0" w:color="000000"/>
              <w:right w:val="single" w:sz="4" w:space="0" w:color="FFFFFF" w:themeColor="background1"/>
            </w:tcBorders>
            <w:shd w:val="clear" w:color="auto" w:fill="1F497D"/>
            <w:vAlign w:val="center"/>
            <w:hideMark/>
          </w:tcPr>
          <w:p w:rsidR="009A3834" w:rsidRPr="003B47CB" w:rsidRDefault="009A3834" w:rsidP="002F0D62">
            <w:pPr>
              <w:pStyle w:val="TableHeader"/>
            </w:pPr>
          </w:p>
        </w:tc>
        <w:tc>
          <w:tcPr>
            <w:tcW w:w="257" w:type="pct"/>
            <w:tcBorders>
              <w:top w:val="single" w:sz="4" w:space="0" w:color="FFFFFF" w:themeColor="background1"/>
              <w:left w:val="single" w:sz="4" w:space="0" w:color="FFFFFF" w:themeColor="background1"/>
              <w:bottom w:val="nil"/>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1-in-2</w:t>
            </w:r>
          </w:p>
        </w:tc>
        <w:tc>
          <w:tcPr>
            <w:tcW w:w="262" w:type="pct"/>
            <w:tcBorders>
              <w:top w:val="single" w:sz="4" w:space="0" w:color="FFFFFF" w:themeColor="background1"/>
              <w:left w:val="single" w:sz="4" w:space="0" w:color="FFFFFF" w:themeColor="background1"/>
              <w:bottom w:val="nil"/>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1-in-10</w:t>
            </w:r>
          </w:p>
        </w:tc>
        <w:tc>
          <w:tcPr>
            <w:tcW w:w="257" w:type="pct"/>
            <w:tcBorders>
              <w:top w:val="single" w:sz="4" w:space="0" w:color="FFFFFF" w:themeColor="background1"/>
              <w:left w:val="single" w:sz="4" w:space="0" w:color="FFFFFF" w:themeColor="background1"/>
              <w:bottom w:val="nil"/>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1-in-2</w:t>
            </w:r>
          </w:p>
        </w:tc>
        <w:tc>
          <w:tcPr>
            <w:tcW w:w="262" w:type="pct"/>
            <w:tcBorders>
              <w:top w:val="single" w:sz="4" w:space="0" w:color="FFFFFF" w:themeColor="background1"/>
              <w:left w:val="single" w:sz="4" w:space="0" w:color="FFFFFF" w:themeColor="background1"/>
              <w:bottom w:val="nil"/>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1-in-10</w:t>
            </w:r>
          </w:p>
        </w:tc>
        <w:tc>
          <w:tcPr>
            <w:tcW w:w="257" w:type="pct"/>
            <w:tcBorders>
              <w:top w:val="single" w:sz="4" w:space="0" w:color="FFFFFF" w:themeColor="background1"/>
              <w:left w:val="single" w:sz="4" w:space="0" w:color="FFFFFF" w:themeColor="background1"/>
              <w:bottom w:val="nil"/>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1-in-2</w:t>
            </w:r>
          </w:p>
        </w:tc>
        <w:tc>
          <w:tcPr>
            <w:tcW w:w="262" w:type="pct"/>
            <w:tcBorders>
              <w:top w:val="single" w:sz="4" w:space="0" w:color="FFFFFF" w:themeColor="background1"/>
              <w:left w:val="single" w:sz="4" w:space="0" w:color="FFFFFF" w:themeColor="background1"/>
              <w:bottom w:val="nil"/>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1-in-10</w:t>
            </w:r>
          </w:p>
        </w:tc>
        <w:tc>
          <w:tcPr>
            <w:tcW w:w="257" w:type="pct"/>
            <w:tcBorders>
              <w:top w:val="single" w:sz="4" w:space="0" w:color="FFFFFF" w:themeColor="background1"/>
              <w:left w:val="single" w:sz="4" w:space="0" w:color="FFFFFF" w:themeColor="background1"/>
              <w:bottom w:val="nil"/>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1-in-2</w:t>
            </w:r>
          </w:p>
        </w:tc>
        <w:tc>
          <w:tcPr>
            <w:tcW w:w="262" w:type="pct"/>
            <w:tcBorders>
              <w:top w:val="single" w:sz="4" w:space="0" w:color="FFFFFF" w:themeColor="background1"/>
              <w:left w:val="single" w:sz="4" w:space="0" w:color="FFFFFF" w:themeColor="background1"/>
              <w:bottom w:val="nil"/>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1-in-10</w:t>
            </w:r>
          </w:p>
        </w:tc>
        <w:tc>
          <w:tcPr>
            <w:tcW w:w="257" w:type="pct"/>
            <w:tcBorders>
              <w:top w:val="single" w:sz="4" w:space="0" w:color="FFFFFF" w:themeColor="background1"/>
              <w:left w:val="single" w:sz="4" w:space="0" w:color="FFFFFF" w:themeColor="background1"/>
              <w:bottom w:val="nil"/>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1-in-2</w:t>
            </w:r>
          </w:p>
        </w:tc>
        <w:tc>
          <w:tcPr>
            <w:tcW w:w="262" w:type="pct"/>
            <w:tcBorders>
              <w:top w:val="single" w:sz="4" w:space="0" w:color="FFFFFF" w:themeColor="background1"/>
              <w:left w:val="single" w:sz="4" w:space="0" w:color="FFFFFF" w:themeColor="background1"/>
              <w:bottom w:val="nil"/>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1-in-10</w:t>
            </w:r>
          </w:p>
        </w:tc>
        <w:tc>
          <w:tcPr>
            <w:tcW w:w="257" w:type="pct"/>
            <w:tcBorders>
              <w:top w:val="single" w:sz="4" w:space="0" w:color="FFFFFF" w:themeColor="background1"/>
              <w:left w:val="single" w:sz="4" w:space="0" w:color="FFFFFF" w:themeColor="background1"/>
              <w:bottom w:val="nil"/>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1-in-2</w:t>
            </w:r>
          </w:p>
        </w:tc>
        <w:tc>
          <w:tcPr>
            <w:tcW w:w="262" w:type="pct"/>
            <w:tcBorders>
              <w:top w:val="single" w:sz="4" w:space="0" w:color="FFFFFF" w:themeColor="background1"/>
              <w:left w:val="single" w:sz="4" w:space="0" w:color="FFFFFF" w:themeColor="background1"/>
              <w:bottom w:val="nil"/>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1-in-10</w:t>
            </w:r>
          </w:p>
        </w:tc>
        <w:tc>
          <w:tcPr>
            <w:tcW w:w="257" w:type="pct"/>
            <w:tcBorders>
              <w:top w:val="single" w:sz="4" w:space="0" w:color="FFFFFF" w:themeColor="background1"/>
              <w:left w:val="single" w:sz="4" w:space="0" w:color="FFFFFF" w:themeColor="background1"/>
              <w:bottom w:val="nil"/>
              <w:right w:val="single" w:sz="4" w:space="0" w:color="FFFFFF" w:themeColor="background1"/>
            </w:tcBorders>
            <w:shd w:val="clear" w:color="auto" w:fill="1F497D"/>
            <w:noWrap/>
            <w:vAlign w:val="center"/>
            <w:hideMark/>
          </w:tcPr>
          <w:p w:rsidR="009A3834" w:rsidRPr="003B47CB" w:rsidRDefault="009A3834" w:rsidP="002F0D62">
            <w:pPr>
              <w:pStyle w:val="TableHeader"/>
            </w:pPr>
            <w:r w:rsidRPr="003B47CB">
              <w:t>1-in-2</w:t>
            </w:r>
          </w:p>
        </w:tc>
        <w:tc>
          <w:tcPr>
            <w:tcW w:w="262" w:type="pct"/>
            <w:tcBorders>
              <w:top w:val="single" w:sz="4" w:space="0" w:color="FFFFFF" w:themeColor="background1"/>
              <w:left w:val="single" w:sz="4" w:space="0" w:color="FFFFFF" w:themeColor="background1"/>
              <w:bottom w:val="nil"/>
              <w:right w:val="single" w:sz="8" w:space="0" w:color="auto"/>
            </w:tcBorders>
            <w:shd w:val="clear" w:color="auto" w:fill="1F497D"/>
            <w:noWrap/>
            <w:vAlign w:val="center"/>
            <w:hideMark/>
          </w:tcPr>
          <w:p w:rsidR="009A3834" w:rsidRPr="003B47CB" w:rsidRDefault="009A3834" w:rsidP="002F0D62">
            <w:pPr>
              <w:pStyle w:val="TableHeader"/>
            </w:pPr>
            <w:r w:rsidRPr="003B47CB">
              <w:t>1-in-10</w:t>
            </w:r>
          </w:p>
        </w:tc>
      </w:tr>
      <w:tr w:rsidR="009A3834" w:rsidRPr="004154EC" w:rsidTr="002F0D62">
        <w:trPr>
          <w:trHeight w:val="300"/>
        </w:trPr>
        <w:tc>
          <w:tcPr>
            <w:tcW w:w="33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PG&amp;E</w:t>
            </w:r>
          </w:p>
        </w:tc>
        <w:tc>
          <w:tcPr>
            <w:tcW w:w="52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A3834" w:rsidRPr="003B47CB" w:rsidRDefault="009A3834">
            <w:pPr>
              <w:pStyle w:val="TableText"/>
            </w:pPr>
            <w:r w:rsidRPr="003B47CB">
              <w:t>Greater Bay Area</w:t>
            </w: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Concord</w:t>
            </w:r>
          </w:p>
        </w:tc>
        <w:tc>
          <w:tcPr>
            <w:tcW w:w="257" w:type="pct"/>
            <w:tcBorders>
              <w:top w:val="single" w:sz="4" w:space="0" w:color="auto"/>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0.57</w:t>
            </w:r>
          </w:p>
        </w:tc>
        <w:tc>
          <w:tcPr>
            <w:tcW w:w="262" w:type="pct"/>
            <w:tcBorders>
              <w:top w:val="single" w:sz="4" w:space="0" w:color="auto"/>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0.77</w:t>
            </w:r>
          </w:p>
        </w:tc>
        <w:tc>
          <w:tcPr>
            <w:tcW w:w="257" w:type="pct"/>
            <w:tcBorders>
              <w:top w:val="single" w:sz="4" w:space="0" w:color="auto"/>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0.72</w:t>
            </w:r>
          </w:p>
        </w:tc>
        <w:tc>
          <w:tcPr>
            <w:tcW w:w="262" w:type="pct"/>
            <w:tcBorders>
              <w:top w:val="single" w:sz="4" w:space="0" w:color="auto"/>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1.00</w:t>
            </w:r>
          </w:p>
        </w:tc>
        <w:tc>
          <w:tcPr>
            <w:tcW w:w="257" w:type="pct"/>
            <w:tcBorders>
              <w:top w:val="single" w:sz="4" w:space="0" w:color="auto"/>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1.03</w:t>
            </w:r>
          </w:p>
        </w:tc>
        <w:tc>
          <w:tcPr>
            <w:tcW w:w="262" w:type="pct"/>
            <w:tcBorders>
              <w:top w:val="single" w:sz="4" w:space="0" w:color="auto"/>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1.11</w:t>
            </w:r>
          </w:p>
        </w:tc>
        <w:tc>
          <w:tcPr>
            <w:tcW w:w="257" w:type="pct"/>
            <w:tcBorders>
              <w:top w:val="single" w:sz="4" w:space="0" w:color="auto"/>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1.12</w:t>
            </w:r>
          </w:p>
        </w:tc>
        <w:tc>
          <w:tcPr>
            <w:tcW w:w="262" w:type="pct"/>
            <w:tcBorders>
              <w:top w:val="single" w:sz="4" w:space="0" w:color="auto"/>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1.14</w:t>
            </w:r>
          </w:p>
        </w:tc>
        <w:tc>
          <w:tcPr>
            <w:tcW w:w="257" w:type="pct"/>
            <w:tcBorders>
              <w:top w:val="single" w:sz="4" w:space="0" w:color="auto"/>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1.09</w:t>
            </w:r>
          </w:p>
        </w:tc>
        <w:tc>
          <w:tcPr>
            <w:tcW w:w="262" w:type="pct"/>
            <w:tcBorders>
              <w:top w:val="single" w:sz="4" w:space="0" w:color="auto"/>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1.07</w:t>
            </w:r>
          </w:p>
        </w:tc>
        <w:tc>
          <w:tcPr>
            <w:tcW w:w="257" w:type="pct"/>
            <w:tcBorders>
              <w:top w:val="single" w:sz="4" w:space="0" w:color="auto"/>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0.72</w:t>
            </w:r>
          </w:p>
        </w:tc>
        <w:tc>
          <w:tcPr>
            <w:tcW w:w="262" w:type="pct"/>
            <w:tcBorders>
              <w:top w:val="single" w:sz="4" w:space="0" w:color="auto"/>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1.05</w:t>
            </w:r>
          </w:p>
        </w:tc>
        <w:tc>
          <w:tcPr>
            <w:tcW w:w="257" w:type="pct"/>
            <w:tcBorders>
              <w:top w:val="single" w:sz="4" w:space="0" w:color="auto"/>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0.72</w:t>
            </w:r>
          </w:p>
        </w:tc>
        <w:tc>
          <w:tcPr>
            <w:tcW w:w="262" w:type="pct"/>
            <w:tcBorders>
              <w:top w:val="single" w:sz="4" w:space="0" w:color="auto"/>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0.99</w:t>
            </w:r>
          </w:p>
        </w:tc>
      </w:tr>
      <w:tr w:rsidR="009A3834" w:rsidRPr="004154EC" w:rsidTr="002F0D62">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9A3834" w:rsidRPr="003B47CB" w:rsidRDefault="009A3834">
            <w:pPr>
              <w:pStyle w:val="TableText"/>
            </w:pPr>
          </w:p>
        </w:tc>
        <w:tc>
          <w:tcPr>
            <w:tcW w:w="523" w:type="pct"/>
            <w:vMerge/>
            <w:tcBorders>
              <w:top w:val="single" w:sz="4" w:space="0" w:color="auto"/>
              <w:left w:val="single" w:sz="4" w:space="0" w:color="auto"/>
              <w:bottom w:val="single" w:sz="4" w:space="0" w:color="000000"/>
              <w:right w:val="single" w:sz="4" w:space="0" w:color="auto"/>
            </w:tcBorders>
            <w:vAlign w:val="center"/>
            <w:hideMark/>
          </w:tcPr>
          <w:p w:rsidR="009A3834" w:rsidRPr="003B47CB" w:rsidRDefault="009A3834">
            <w:pPr>
              <w:pStyle w:val="TableText"/>
            </w:pP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Milpitas</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0.75</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0.91</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0.52</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1.23</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1.47</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1.67</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1.59</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1.60</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1.47</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1.50</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1.16</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1.56</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1.04</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1.09</w:t>
            </w:r>
          </w:p>
        </w:tc>
      </w:tr>
      <w:tr w:rsidR="009A3834" w:rsidRPr="004154EC" w:rsidTr="002F0D62">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9A3834" w:rsidRPr="003B47CB" w:rsidRDefault="009A3834">
            <w:pPr>
              <w:pStyle w:val="TableText"/>
            </w:pPr>
          </w:p>
        </w:tc>
        <w:tc>
          <w:tcPr>
            <w:tcW w:w="523" w:type="pct"/>
            <w:vMerge/>
            <w:tcBorders>
              <w:top w:val="single" w:sz="4" w:space="0" w:color="auto"/>
              <w:left w:val="single" w:sz="4" w:space="0" w:color="auto"/>
              <w:bottom w:val="single" w:sz="4" w:space="0" w:color="000000"/>
              <w:right w:val="single" w:sz="4" w:space="0" w:color="auto"/>
            </w:tcBorders>
            <w:vAlign w:val="center"/>
            <w:hideMark/>
          </w:tcPr>
          <w:p w:rsidR="009A3834" w:rsidRPr="003B47CB" w:rsidRDefault="009A3834">
            <w:pPr>
              <w:pStyle w:val="TableText"/>
            </w:pP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Cupertino</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0.59</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0.67</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0.35</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0.88</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0.91</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1.06</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0.94</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0.99</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0.88</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0.95</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0.67</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1.02</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0.75</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0.73</w:t>
            </w:r>
          </w:p>
        </w:tc>
      </w:tr>
      <w:tr w:rsidR="009A3834" w:rsidRPr="004154EC" w:rsidTr="002F0D62">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9A3834" w:rsidRPr="003B47CB" w:rsidRDefault="009A3834">
            <w:pPr>
              <w:pStyle w:val="TableText"/>
            </w:pPr>
          </w:p>
        </w:tc>
        <w:tc>
          <w:tcPr>
            <w:tcW w:w="523" w:type="pct"/>
            <w:vMerge/>
            <w:tcBorders>
              <w:top w:val="single" w:sz="4" w:space="0" w:color="auto"/>
              <w:left w:val="single" w:sz="4" w:space="0" w:color="auto"/>
              <w:bottom w:val="single" w:sz="4" w:space="0" w:color="000000"/>
              <w:right w:val="single" w:sz="4" w:space="0" w:color="auto"/>
            </w:tcBorders>
            <w:vAlign w:val="center"/>
            <w:hideMark/>
          </w:tcPr>
          <w:p w:rsidR="009A3834" w:rsidRPr="003B47CB" w:rsidRDefault="009A3834">
            <w:pPr>
              <w:pStyle w:val="TableText"/>
            </w:pP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San Ramon</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0.55</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0.73</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0.45</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0.93</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0.97</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1.09</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1.08</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1.07</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0.96</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1.04</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0.93</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1.08</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0.74</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0.94</w:t>
            </w:r>
          </w:p>
        </w:tc>
      </w:tr>
      <w:tr w:rsidR="009A3834" w:rsidRPr="004154EC" w:rsidTr="002F0D62">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9A3834" w:rsidRPr="003B47CB" w:rsidRDefault="009A3834">
            <w:pPr>
              <w:pStyle w:val="TableText"/>
            </w:pPr>
          </w:p>
        </w:tc>
        <w:tc>
          <w:tcPr>
            <w:tcW w:w="52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Greater Fresno</w:t>
            </w: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Fresno</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0.57</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0.68</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0.87</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0.96</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0.88</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0.97</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1.04</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1.03</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0.94</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1.08</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0.95</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0.93</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0.73</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0.88</w:t>
            </w:r>
          </w:p>
        </w:tc>
      </w:tr>
      <w:tr w:rsidR="009A3834" w:rsidRPr="004154EC" w:rsidTr="002F0D62">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9A3834" w:rsidRPr="003B47CB" w:rsidRDefault="009A3834">
            <w:pPr>
              <w:pStyle w:val="TableText"/>
            </w:pPr>
          </w:p>
        </w:tc>
        <w:tc>
          <w:tcPr>
            <w:tcW w:w="52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Humboldt</w:t>
            </w: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Eureka</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0.20</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0.37</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0.62</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0.70</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1.08</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1.16</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0.93</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0.87</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0.78</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1.18</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0.62</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1.42</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0.40</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1.65</w:t>
            </w:r>
          </w:p>
        </w:tc>
      </w:tr>
      <w:tr w:rsidR="009A3834" w:rsidRPr="004154EC" w:rsidTr="002F0D62">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9A3834" w:rsidRPr="003B47CB" w:rsidRDefault="009A3834">
            <w:pPr>
              <w:pStyle w:val="TableText"/>
            </w:pPr>
          </w:p>
        </w:tc>
        <w:tc>
          <w:tcPr>
            <w:tcW w:w="52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Kern</w:t>
            </w: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Bakersfield</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0.58</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0.75</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0.86</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1.00</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0.91</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0.97</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1.01</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0.96</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0.91</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1.06</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0.86</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0.98</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0.77</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0.93</w:t>
            </w:r>
          </w:p>
        </w:tc>
      </w:tr>
      <w:tr w:rsidR="009A3834" w:rsidRPr="004154EC" w:rsidTr="002F0D62">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9A3834" w:rsidRPr="003B47CB" w:rsidRDefault="009A3834">
            <w:pPr>
              <w:pStyle w:val="TableText"/>
            </w:pPr>
          </w:p>
        </w:tc>
        <w:tc>
          <w:tcPr>
            <w:tcW w:w="52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3834" w:rsidRPr="003B47CB" w:rsidRDefault="009A3834">
            <w:pPr>
              <w:pStyle w:val="TableText"/>
            </w:pPr>
            <w:r w:rsidRPr="003B47CB">
              <w:t>Northern Coast</w:t>
            </w: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Sacramento</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0.60</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0.69</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0.89</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1.03</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1.00</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1.06</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1.14</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1.16</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1.03</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1.07</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1.05</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1.01</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0.71</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1.00</w:t>
            </w:r>
          </w:p>
        </w:tc>
      </w:tr>
      <w:tr w:rsidR="009A3834" w:rsidRPr="004154EC" w:rsidTr="002F0D62">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9A3834" w:rsidRPr="003B47CB" w:rsidRDefault="009A3834">
            <w:pPr>
              <w:pStyle w:val="TableText"/>
            </w:pPr>
          </w:p>
        </w:tc>
        <w:tc>
          <w:tcPr>
            <w:tcW w:w="523" w:type="pct"/>
            <w:vMerge/>
            <w:tcBorders>
              <w:top w:val="nil"/>
              <w:left w:val="single" w:sz="4" w:space="0" w:color="auto"/>
              <w:bottom w:val="single" w:sz="4" w:space="0" w:color="000000"/>
              <w:right w:val="single" w:sz="4" w:space="0" w:color="auto"/>
            </w:tcBorders>
            <w:vAlign w:val="center"/>
            <w:hideMark/>
          </w:tcPr>
          <w:p w:rsidR="009A3834" w:rsidRPr="003B47CB" w:rsidRDefault="009A3834">
            <w:pPr>
              <w:pStyle w:val="TableText"/>
            </w:pP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Santa Rosa</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0.60</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0.67</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0.42</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0.98</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1.07</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1.13</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1.10</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1.10</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1.06</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0.99</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0.75</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1.06</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0.86</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0.97</w:t>
            </w:r>
          </w:p>
        </w:tc>
      </w:tr>
      <w:tr w:rsidR="009A3834" w:rsidRPr="004154EC" w:rsidTr="002F0D62">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9A3834" w:rsidRPr="003B47CB" w:rsidRDefault="009A3834">
            <w:pPr>
              <w:pStyle w:val="TableText"/>
            </w:pPr>
          </w:p>
        </w:tc>
        <w:tc>
          <w:tcPr>
            <w:tcW w:w="523" w:type="pct"/>
            <w:tcBorders>
              <w:top w:val="nil"/>
              <w:left w:val="nil"/>
              <w:bottom w:val="single" w:sz="4" w:space="0" w:color="auto"/>
              <w:right w:val="single" w:sz="4" w:space="0" w:color="auto"/>
            </w:tcBorders>
            <w:shd w:val="clear" w:color="auto" w:fill="auto"/>
            <w:noWrap/>
            <w:vAlign w:val="center"/>
            <w:hideMark/>
          </w:tcPr>
          <w:p w:rsidR="009A3834" w:rsidRPr="00D660A3" w:rsidRDefault="009A3834">
            <w:pPr>
              <w:pStyle w:val="TableText"/>
            </w:pPr>
            <w:r w:rsidRPr="00D660A3">
              <w:t>Other</w:t>
            </w: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Salinas</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0.62</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0.74</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0.34</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0.79</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1.25</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2.10</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1.12</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0.75</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1.21</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0.88</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0.89</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0.93</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1.02</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0.43</w:t>
            </w:r>
          </w:p>
        </w:tc>
      </w:tr>
      <w:tr w:rsidR="009A3834" w:rsidRPr="004154EC" w:rsidTr="002F0D62">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9A3834" w:rsidRPr="003B47CB" w:rsidRDefault="009A3834">
            <w:pPr>
              <w:pStyle w:val="TableText"/>
            </w:pPr>
          </w:p>
        </w:tc>
        <w:tc>
          <w:tcPr>
            <w:tcW w:w="523" w:type="pct"/>
            <w:tcBorders>
              <w:top w:val="nil"/>
              <w:left w:val="nil"/>
              <w:bottom w:val="single" w:sz="4" w:space="0" w:color="auto"/>
              <w:right w:val="single" w:sz="4" w:space="0" w:color="auto"/>
            </w:tcBorders>
            <w:shd w:val="clear" w:color="auto" w:fill="auto"/>
            <w:noWrap/>
            <w:vAlign w:val="center"/>
            <w:hideMark/>
          </w:tcPr>
          <w:p w:rsidR="009A3834" w:rsidRPr="00D660A3" w:rsidRDefault="009A3834">
            <w:pPr>
              <w:pStyle w:val="TableText"/>
            </w:pPr>
            <w:r w:rsidRPr="00D660A3">
              <w:t>Sierra</w:t>
            </w: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Auburn</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0.42</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0.50</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0.76</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0.91</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0.84</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0.95</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1.03</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1.00</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0.92</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0.88</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1.00</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0.98</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0.65</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1.00</w:t>
            </w:r>
          </w:p>
        </w:tc>
      </w:tr>
      <w:tr w:rsidR="009A3834" w:rsidRPr="004154EC" w:rsidTr="002F0D62">
        <w:trPr>
          <w:trHeight w:val="300"/>
        </w:trPr>
        <w:tc>
          <w:tcPr>
            <w:tcW w:w="333" w:type="pct"/>
            <w:vMerge/>
            <w:tcBorders>
              <w:top w:val="single" w:sz="4" w:space="0" w:color="auto"/>
              <w:left w:val="single" w:sz="4" w:space="0" w:color="auto"/>
              <w:bottom w:val="single" w:sz="4" w:space="0" w:color="auto"/>
              <w:right w:val="single" w:sz="4" w:space="0" w:color="auto"/>
            </w:tcBorders>
            <w:vAlign w:val="center"/>
            <w:hideMark/>
          </w:tcPr>
          <w:p w:rsidR="009A3834" w:rsidRPr="003B47CB" w:rsidRDefault="009A3834">
            <w:pPr>
              <w:pStyle w:val="TableText"/>
            </w:pPr>
          </w:p>
        </w:tc>
        <w:tc>
          <w:tcPr>
            <w:tcW w:w="523" w:type="pct"/>
            <w:tcBorders>
              <w:top w:val="nil"/>
              <w:left w:val="nil"/>
              <w:bottom w:val="single" w:sz="4" w:space="0" w:color="auto"/>
              <w:right w:val="single" w:sz="4" w:space="0" w:color="auto"/>
            </w:tcBorders>
            <w:shd w:val="clear" w:color="auto" w:fill="auto"/>
            <w:noWrap/>
            <w:vAlign w:val="center"/>
            <w:hideMark/>
          </w:tcPr>
          <w:p w:rsidR="009A3834" w:rsidRPr="00D660A3" w:rsidRDefault="009A3834">
            <w:pPr>
              <w:pStyle w:val="TableText"/>
            </w:pPr>
            <w:r w:rsidRPr="00D660A3">
              <w:t>Stockton</w:t>
            </w: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Stockton</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0.56</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0.69</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0.84</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0.97</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0.97</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1.02</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1.08</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1.10</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1.01</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1.06</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0.98</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0.96</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0.68</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0.94</w:t>
            </w:r>
          </w:p>
        </w:tc>
      </w:tr>
      <w:tr w:rsidR="009A3834" w:rsidRPr="004154EC" w:rsidTr="002F0D62">
        <w:trPr>
          <w:trHeight w:val="300"/>
        </w:trPr>
        <w:tc>
          <w:tcPr>
            <w:tcW w:w="33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SCE</w:t>
            </w:r>
          </w:p>
        </w:tc>
        <w:tc>
          <w:tcPr>
            <w:tcW w:w="52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LA Basin</w:t>
            </w: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173</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0.43</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1.02</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0.58</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0.63</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0.52</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0.69</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0.70</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0.86</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0.70</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0.99</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0.90</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0.77</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0.96</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0.91</w:t>
            </w:r>
          </w:p>
        </w:tc>
      </w:tr>
      <w:tr w:rsidR="009A3834" w:rsidRPr="004154EC" w:rsidTr="002F0D62">
        <w:trPr>
          <w:trHeight w:val="300"/>
        </w:trPr>
        <w:tc>
          <w:tcPr>
            <w:tcW w:w="333" w:type="pct"/>
            <w:vMerge/>
            <w:tcBorders>
              <w:top w:val="nil"/>
              <w:left w:val="single" w:sz="4" w:space="0" w:color="auto"/>
              <w:bottom w:val="single" w:sz="4" w:space="0" w:color="auto"/>
              <w:right w:val="single" w:sz="4" w:space="0" w:color="auto"/>
            </w:tcBorders>
            <w:vAlign w:val="center"/>
            <w:hideMark/>
          </w:tcPr>
          <w:p w:rsidR="009A3834" w:rsidRPr="003B47CB" w:rsidRDefault="009A3834">
            <w:pPr>
              <w:pStyle w:val="TableText"/>
            </w:pPr>
          </w:p>
        </w:tc>
        <w:tc>
          <w:tcPr>
            <w:tcW w:w="52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Outside LA Basin</w:t>
            </w: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132</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0.79</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0.71</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0.88</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0.98</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0.99</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1.03</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1.01</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1.03</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1.04</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1.05</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1.04</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1.01</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0.75</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0.96</w:t>
            </w:r>
          </w:p>
        </w:tc>
      </w:tr>
      <w:tr w:rsidR="009A3834" w:rsidRPr="004154EC" w:rsidTr="002F0D62">
        <w:trPr>
          <w:trHeight w:val="300"/>
        </w:trPr>
        <w:tc>
          <w:tcPr>
            <w:tcW w:w="333" w:type="pct"/>
            <w:vMerge/>
            <w:tcBorders>
              <w:top w:val="nil"/>
              <w:left w:val="single" w:sz="4" w:space="0" w:color="auto"/>
              <w:bottom w:val="single" w:sz="4" w:space="0" w:color="auto"/>
              <w:right w:val="single" w:sz="4" w:space="0" w:color="auto"/>
            </w:tcBorders>
            <w:vAlign w:val="center"/>
            <w:hideMark/>
          </w:tcPr>
          <w:p w:rsidR="009A3834" w:rsidRPr="003B47CB" w:rsidRDefault="009A3834">
            <w:pPr>
              <w:pStyle w:val="TableText"/>
            </w:pPr>
          </w:p>
        </w:tc>
        <w:tc>
          <w:tcPr>
            <w:tcW w:w="52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Ventura</w:t>
            </w: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193</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0.54</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0.42</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0.74</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0.94</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0.90</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1.01</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0.95</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0.98</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0.91</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0.97</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0.86</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0.92</w:t>
            </w:r>
          </w:p>
        </w:tc>
        <w:tc>
          <w:tcPr>
            <w:tcW w:w="257"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0.43</w:t>
            </w:r>
          </w:p>
        </w:tc>
        <w:tc>
          <w:tcPr>
            <w:tcW w:w="262" w:type="pct"/>
            <w:tcBorders>
              <w:top w:val="nil"/>
              <w:left w:val="nil"/>
              <w:bottom w:val="single" w:sz="4" w:space="0" w:color="auto"/>
              <w:right w:val="single" w:sz="4" w:space="0" w:color="auto"/>
            </w:tcBorders>
            <w:shd w:val="clear" w:color="auto" w:fill="auto"/>
            <w:noWrap/>
            <w:vAlign w:val="center"/>
          </w:tcPr>
          <w:p w:rsidR="009A3834" w:rsidRPr="00165FF6" w:rsidRDefault="009A3834">
            <w:pPr>
              <w:pStyle w:val="TableText"/>
              <w:rPr>
                <w:rFonts w:cs="Calibri"/>
              </w:rPr>
            </w:pPr>
            <w:r w:rsidRPr="00165FF6">
              <w:rPr>
                <w:rFonts w:cs="Calibri"/>
              </w:rPr>
              <w:t>0.69</w:t>
            </w:r>
          </w:p>
        </w:tc>
      </w:tr>
      <w:tr w:rsidR="009A3834" w:rsidRPr="004154EC" w:rsidTr="002F0D62">
        <w:trPr>
          <w:trHeight w:val="300"/>
        </w:trPr>
        <w:tc>
          <w:tcPr>
            <w:tcW w:w="855" w:type="pct"/>
            <w:gridSpan w:val="2"/>
            <w:vMerge w:val="restart"/>
            <w:tcBorders>
              <w:top w:val="nil"/>
              <w:left w:val="single" w:sz="4" w:space="0" w:color="auto"/>
              <w:right w:val="single" w:sz="4" w:space="0" w:color="auto"/>
            </w:tcBorders>
            <w:shd w:val="clear" w:color="auto" w:fill="auto"/>
            <w:noWrap/>
            <w:vAlign w:val="center"/>
            <w:hideMark/>
          </w:tcPr>
          <w:p w:rsidR="009A3834" w:rsidRPr="00165FF6" w:rsidRDefault="009A3834">
            <w:pPr>
              <w:pStyle w:val="TableText"/>
            </w:pPr>
            <w:r>
              <w:t>SDG&amp;</w:t>
            </w:r>
            <w:r w:rsidRPr="003B47CB">
              <w:t>E</w:t>
            </w: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Lindberg Field</w:t>
            </w:r>
          </w:p>
        </w:tc>
        <w:tc>
          <w:tcPr>
            <w:tcW w:w="257"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0.77</w:t>
            </w:r>
          </w:p>
        </w:tc>
        <w:tc>
          <w:tcPr>
            <w:tcW w:w="262"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1.03</w:t>
            </w:r>
          </w:p>
        </w:tc>
        <w:tc>
          <w:tcPr>
            <w:tcW w:w="257"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0.61</w:t>
            </w:r>
          </w:p>
        </w:tc>
        <w:tc>
          <w:tcPr>
            <w:tcW w:w="262"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1.00</w:t>
            </w:r>
          </w:p>
        </w:tc>
        <w:tc>
          <w:tcPr>
            <w:tcW w:w="257"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0.59</w:t>
            </w:r>
          </w:p>
        </w:tc>
        <w:tc>
          <w:tcPr>
            <w:tcW w:w="262"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0.57</w:t>
            </w:r>
          </w:p>
        </w:tc>
        <w:tc>
          <w:tcPr>
            <w:tcW w:w="257"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0.79</w:t>
            </w:r>
          </w:p>
        </w:tc>
        <w:tc>
          <w:tcPr>
            <w:tcW w:w="262"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0.90</w:t>
            </w:r>
          </w:p>
        </w:tc>
        <w:tc>
          <w:tcPr>
            <w:tcW w:w="257"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0.70</w:t>
            </w:r>
          </w:p>
        </w:tc>
        <w:tc>
          <w:tcPr>
            <w:tcW w:w="262"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0.95</w:t>
            </w:r>
          </w:p>
        </w:tc>
        <w:tc>
          <w:tcPr>
            <w:tcW w:w="257"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0.69</w:t>
            </w:r>
          </w:p>
        </w:tc>
        <w:tc>
          <w:tcPr>
            <w:tcW w:w="262"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1.11</w:t>
            </w:r>
          </w:p>
        </w:tc>
        <w:tc>
          <w:tcPr>
            <w:tcW w:w="257"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0.83</w:t>
            </w:r>
          </w:p>
        </w:tc>
        <w:tc>
          <w:tcPr>
            <w:tcW w:w="262"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1.18</w:t>
            </w:r>
          </w:p>
        </w:tc>
      </w:tr>
      <w:tr w:rsidR="009A3834" w:rsidRPr="004154EC" w:rsidTr="002F0D62">
        <w:trPr>
          <w:trHeight w:val="300"/>
        </w:trPr>
        <w:tc>
          <w:tcPr>
            <w:tcW w:w="855" w:type="pct"/>
            <w:gridSpan w:val="2"/>
            <w:vMerge/>
            <w:tcBorders>
              <w:left w:val="single" w:sz="4" w:space="0" w:color="auto"/>
              <w:bottom w:val="single" w:sz="4" w:space="0" w:color="auto"/>
              <w:right w:val="single" w:sz="4" w:space="0" w:color="auto"/>
            </w:tcBorders>
            <w:vAlign w:val="center"/>
            <w:hideMark/>
          </w:tcPr>
          <w:p w:rsidR="009A3834" w:rsidRPr="003B47CB" w:rsidRDefault="009A3834">
            <w:pPr>
              <w:pStyle w:val="TableText"/>
            </w:pPr>
          </w:p>
        </w:tc>
        <w:tc>
          <w:tcPr>
            <w:tcW w:w="513" w:type="pct"/>
            <w:tcBorders>
              <w:top w:val="nil"/>
              <w:left w:val="nil"/>
              <w:bottom w:val="single" w:sz="4" w:space="0" w:color="auto"/>
              <w:right w:val="single" w:sz="4" w:space="0" w:color="auto"/>
            </w:tcBorders>
            <w:shd w:val="clear" w:color="auto" w:fill="auto"/>
            <w:noWrap/>
            <w:vAlign w:val="center"/>
            <w:hideMark/>
          </w:tcPr>
          <w:p w:rsidR="009A3834" w:rsidRPr="003B47CB" w:rsidRDefault="009A3834">
            <w:pPr>
              <w:pStyle w:val="TableText"/>
            </w:pPr>
            <w:r w:rsidRPr="003B47CB">
              <w:t>Miramar</w:t>
            </w:r>
          </w:p>
        </w:tc>
        <w:tc>
          <w:tcPr>
            <w:tcW w:w="257"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0.58</w:t>
            </w:r>
          </w:p>
        </w:tc>
        <w:tc>
          <w:tcPr>
            <w:tcW w:w="262"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0.90</w:t>
            </w:r>
          </w:p>
        </w:tc>
        <w:tc>
          <w:tcPr>
            <w:tcW w:w="257"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0.47</w:t>
            </w:r>
          </w:p>
        </w:tc>
        <w:tc>
          <w:tcPr>
            <w:tcW w:w="262"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0.98</w:t>
            </w:r>
          </w:p>
        </w:tc>
        <w:tc>
          <w:tcPr>
            <w:tcW w:w="257"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0.53</w:t>
            </w:r>
          </w:p>
        </w:tc>
        <w:tc>
          <w:tcPr>
            <w:tcW w:w="262"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0.57</w:t>
            </w:r>
          </w:p>
        </w:tc>
        <w:tc>
          <w:tcPr>
            <w:tcW w:w="257"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0.85</w:t>
            </w:r>
          </w:p>
        </w:tc>
        <w:tc>
          <w:tcPr>
            <w:tcW w:w="262"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0.89</w:t>
            </w:r>
          </w:p>
        </w:tc>
        <w:tc>
          <w:tcPr>
            <w:tcW w:w="257"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0.78</w:t>
            </w:r>
          </w:p>
        </w:tc>
        <w:tc>
          <w:tcPr>
            <w:tcW w:w="262"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0.92</w:t>
            </w:r>
          </w:p>
        </w:tc>
        <w:tc>
          <w:tcPr>
            <w:tcW w:w="257"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1.06</w:t>
            </w:r>
          </w:p>
        </w:tc>
        <w:tc>
          <w:tcPr>
            <w:tcW w:w="262"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1.06</w:t>
            </w:r>
          </w:p>
        </w:tc>
        <w:tc>
          <w:tcPr>
            <w:tcW w:w="257"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1.01</w:t>
            </w:r>
          </w:p>
        </w:tc>
        <w:tc>
          <w:tcPr>
            <w:tcW w:w="262" w:type="pct"/>
            <w:tcBorders>
              <w:top w:val="nil"/>
              <w:left w:val="nil"/>
              <w:bottom w:val="single" w:sz="4" w:space="0" w:color="auto"/>
              <w:right w:val="single" w:sz="4" w:space="0" w:color="auto"/>
            </w:tcBorders>
            <w:shd w:val="clear" w:color="auto" w:fill="auto"/>
            <w:noWrap/>
            <w:vAlign w:val="center"/>
            <w:hideMark/>
          </w:tcPr>
          <w:p w:rsidR="009A3834" w:rsidRPr="00165FF6" w:rsidRDefault="009A3834">
            <w:pPr>
              <w:pStyle w:val="TableText"/>
              <w:rPr>
                <w:rFonts w:cs="Calibri"/>
              </w:rPr>
            </w:pPr>
            <w:r w:rsidRPr="00165FF6">
              <w:rPr>
                <w:rFonts w:cs="Calibri"/>
              </w:rPr>
              <w:t>0.95</w:t>
            </w:r>
          </w:p>
        </w:tc>
      </w:tr>
    </w:tbl>
    <w:p w:rsidR="00400A49" w:rsidRPr="00400A49" w:rsidRDefault="00400A49">
      <w:pPr>
        <w:pStyle w:val="BodyParagraph"/>
      </w:pPr>
    </w:p>
    <w:sectPr w:rsidR="00400A49" w:rsidRPr="00400A49" w:rsidSect="001779E9">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29B8" w:rsidRDefault="002529B8" w:rsidP="00DB35F9">
      <w:pPr>
        <w:spacing w:after="0" w:line="240" w:lineRule="auto"/>
      </w:pPr>
      <w:r>
        <w:separator/>
      </w:r>
    </w:p>
  </w:endnote>
  <w:endnote w:type="continuationSeparator" w:id="0">
    <w:p w:rsidR="002529B8" w:rsidRDefault="002529B8" w:rsidP="00DB35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Franklin Gothic Book">
    <w:panose1 w:val="020B05030201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TitilliumText22L Xb">
    <w:altName w:val="Arial"/>
    <w:panose1 w:val="00000000000000000000"/>
    <w:charset w:val="00"/>
    <w:family w:val="modern"/>
    <w:notTrueType/>
    <w:pitch w:val="variable"/>
    <w:sig w:usb0="A00000EF" w:usb1="0000004B" w:usb2="00000000" w:usb3="00000000" w:csb0="00000193"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323C" w:rsidRDefault="0002323C" w:rsidP="002C5BF9">
    <w:pPr>
      <w:pStyle w:val="Footer"/>
      <w:jc w:val="right"/>
      <w:rPr>
        <w:rFonts w:ascii="TitilliumText22L Xb" w:eastAsiaTheme="minorHAnsi" w:hAnsi="TitilliumText22L Xb" w:cstheme="minorBidi"/>
        <w:szCs w:val="22"/>
      </w:rPr>
    </w:pPr>
    <w:r>
      <w:rPr>
        <w:rFonts w:ascii="TitilliumText22L Xb" w:hAnsi="TitilliumText22L Xb"/>
        <w:noProof/>
      </w:rPr>
      <w:drawing>
        <wp:anchor distT="0" distB="0" distL="114300" distR="114300" simplePos="0" relativeHeight="251658752" behindDoc="0" locked="0" layoutInCell="1" allowOverlap="1">
          <wp:simplePos x="0" y="0"/>
          <wp:positionH relativeFrom="column">
            <wp:posOffset>-135496</wp:posOffset>
          </wp:positionH>
          <wp:positionV relativeFrom="paragraph">
            <wp:posOffset>-118682</wp:posOffset>
          </wp:positionV>
          <wp:extent cx="2080206" cy="425002"/>
          <wp:effectExtent l="19050" t="0" r="0" b="0"/>
          <wp:wrapNone/>
          <wp:docPr id="3" name="Picture 3"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C Logo NEW PURPLE 2007"/>
                  <pic:cNvPicPr>
                    <a:picLocks noChangeAspect="1" noChangeArrowheads="1"/>
                  </pic:cNvPicPr>
                </pic:nvPicPr>
                <pic:blipFill>
                  <a:blip r:embed="rId1"/>
                  <a:srcRect/>
                  <a:stretch>
                    <a:fillRect/>
                  </a:stretch>
                </pic:blipFill>
                <pic:spPr bwMode="auto">
                  <a:xfrm>
                    <a:off x="0" y="0"/>
                    <a:ext cx="2080206" cy="425002"/>
                  </a:xfrm>
                  <a:prstGeom prst="rect">
                    <a:avLst/>
                  </a:prstGeom>
                  <a:noFill/>
                </pic:spPr>
              </pic:pic>
            </a:graphicData>
          </a:graphic>
        </wp:anchor>
      </w:drawing>
    </w:r>
    <w:sdt>
      <w:sdtPr>
        <w:rPr>
          <w:rFonts w:ascii="TitilliumText22L Xb" w:hAnsi="TitilliumText22L Xb"/>
        </w:rPr>
        <w:id w:val="18682042"/>
        <w:docPartObj>
          <w:docPartGallery w:val="Page Numbers (Bottom of Page)"/>
          <w:docPartUnique/>
        </w:docPartObj>
      </w:sdtPr>
      <w:sdtEndPr/>
      <w:sdtContent>
        <w:r w:rsidRPr="00344C3B">
          <w:rPr>
            <w:rFonts w:ascii="Arial Black" w:hAnsi="Arial Black"/>
            <w:color w:val="808080" w:themeColor="background1" w:themeShade="80"/>
          </w:rPr>
          <w:fldChar w:fldCharType="begin"/>
        </w:r>
        <w:r w:rsidRPr="00344C3B">
          <w:rPr>
            <w:rFonts w:ascii="Arial Black" w:hAnsi="Arial Black"/>
            <w:color w:val="808080" w:themeColor="background1" w:themeShade="80"/>
          </w:rPr>
          <w:instrText xml:space="preserve"> PAGE   \* MERGEFORMAT </w:instrText>
        </w:r>
        <w:r w:rsidRPr="00344C3B">
          <w:rPr>
            <w:rFonts w:ascii="Arial Black" w:hAnsi="Arial Black"/>
            <w:color w:val="808080" w:themeColor="background1" w:themeShade="80"/>
          </w:rPr>
          <w:fldChar w:fldCharType="separate"/>
        </w:r>
        <w:r>
          <w:rPr>
            <w:rFonts w:ascii="Arial Black" w:hAnsi="Arial Black"/>
            <w:noProof/>
            <w:color w:val="808080" w:themeColor="background1" w:themeShade="80"/>
          </w:rPr>
          <w:t>6</w:t>
        </w:r>
        <w:r w:rsidRPr="00344C3B">
          <w:rPr>
            <w:rFonts w:ascii="Arial Black" w:hAnsi="Arial Black"/>
            <w:color w:val="808080" w:themeColor="background1" w:themeShade="80"/>
          </w:rPr>
          <w:fldChar w:fldCharType="end"/>
        </w:r>
      </w:sdtContent>
    </w:sdt>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tilliumText22L Xb" w:hAnsi="TitilliumText22L Xb"/>
      </w:rPr>
      <w:id w:val="-736786859"/>
      <w:docPartObj>
        <w:docPartGallery w:val="Page Numbers (Bottom of Page)"/>
        <w:docPartUnique/>
      </w:docPartObj>
    </w:sdtPr>
    <w:sdtEndPr/>
    <w:sdtContent>
      <w:p w:rsidR="0002323C" w:rsidRPr="0036226B" w:rsidRDefault="0002323C" w:rsidP="00DF6AAD">
        <w:pPr>
          <w:pStyle w:val="Footer"/>
          <w:tabs>
            <w:tab w:val="clear" w:pos="4320"/>
            <w:tab w:val="clear" w:pos="8640"/>
            <w:tab w:val="center" w:pos="4680"/>
            <w:tab w:val="left" w:pos="9000"/>
            <w:tab w:val="right" w:pos="12780"/>
          </w:tabs>
          <w:rPr>
            <w:rFonts w:ascii="TitilliumText22L Xb" w:hAnsi="TitilliumText22L Xb"/>
          </w:rPr>
        </w:pPr>
        <w:r w:rsidRPr="00C566BC">
          <w:rPr>
            <w:rFonts w:asciiTheme="minorHAnsi" w:hAnsiTheme="minorHAnsi" w:cstheme="minorHAnsi"/>
            <w:noProof/>
            <w:color w:val="808080" w:themeColor="background1" w:themeShade="80"/>
          </w:rPr>
          <w:drawing>
            <wp:anchor distT="0" distB="0" distL="114300" distR="114300" simplePos="0" relativeHeight="251672064" behindDoc="0" locked="0" layoutInCell="1" allowOverlap="1" wp14:anchorId="76F99E1F" wp14:editId="6133FD13">
              <wp:simplePos x="0" y="0"/>
              <wp:positionH relativeFrom="column">
                <wp:posOffset>-6350</wp:posOffset>
              </wp:positionH>
              <wp:positionV relativeFrom="paragraph">
                <wp:posOffset>43815</wp:posOffset>
              </wp:positionV>
              <wp:extent cx="692150" cy="127000"/>
              <wp:effectExtent l="19050" t="0" r="0" b="0"/>
              <wp:wrapNone/>
              <wp:docPr id="37" name="Picture 2" descr="nexant_rev (blue 3-4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ant_rev (blue 3-4in)"/>
                      <pic:cNvPicPr>
                        <a:picLocks noChangeAspect="1" noChangeArrowheads="1"/>
                      </pic:cNvPicPr>
                    </pic:nvPicPr>
                    <pic:blipFill>
                      <a:blip r:embed="rId1" cstate="screen"/>
                      <a:srcRect/>
                      <a:stretch>
                        <a:fillRect/>
                      </a:stretch>
                    </pic:blipFill>
                    <pic:spPr bwMode="auto">
                      <a:xfrm>
                        <a:off x="0" y="0"/>
                        <a:ext cx="692150" cy="127000"/>
                      </a:xfrm>
                      <a:prstGeom prst="rect">
                        <a:avLst/>
                      </a:prstGeom>
                      <a:noFill/>
                      <a:ln w="9525">
                        <a:noFill/>
                        <a:miter lim="800000"/>
                        <a:headEnd/>
                        <a:tailEnd/>
                      </a:ln>
                    </pic:spPr>
                  </pic:pic>
                </a:graphicData>
              </a:graphic>
            </wp:anchor>
          </w:drawing>
        </w:r>
        <w:r>
          <w:rPr>
            <w:rFonts w:ascii="TitilliumText22L Xb" w:hAnsi="TitilliumText22L Xb"/>
          </w:rPr>
          <w:tab/>
        </w:r>
        <w:r w:rsidRPr="00BF594A">
          <w:rPr>
            <w:rFonts w:asciiTheme="minorHAnsi" w:hAnsiTheme="minorHAnsi" w:cstheme="minorHAnsi"/>
            <w:sz w:val="16"/>
            <w:szCs w:val="16"/>
          </w:rPr>
          <w:fldChar w:fldCharType="begin"/>
        </w:r>
        <w:r w:rsidRPr="00BF594A">
          <w:rPr>
            <w:rFonts w:asciiTheme="minorHAnsi" w:hAnsiTheme="minorHAnsi" w:cstheme="minorHAnsi"/>
            <w:sz w:val="16"/>
            <w:szCs w:val="16"/>
          </w:rPr>
          <w:instrText xml:space="preserve"> STYLEREF  "Proposal Title"  \* MERGEFORMAT </w:instrText>
        </w:r>
        <w:r w:rsidRPr="00BF594A">
          <w:rPr>
            <w:rFonts w:asciiTheme="minorHAnsi" w:hAnsiTheme="minorHAnsi" w:cstheme="minorHAnsi"/>
            <w:noProof/>
            <w:sz w:val="16"/>
            <w:szCs w:val="16"/>
          </w:rPr>
          <w:fldChar w:fldCharType="end"/>
        </w:r>
        <w:r>
          <w:rPr>
            <w:rFonts w:ascii="TitilliumText22L Xb" w:hAnsi="TitilliumText22L Xb"/>
          </w:rPr>
          <w:tab/>
        </w:r>
        <w:r w:rsidRPr="00C566BC">
          <w:rPr>
            <w:rFonts w:asciiTheme="minorHAnsi" w:hAnsiTheme="minorHAnsi" w:cstheme="minorHAnsi"/>
            <w:color w:val="808080" w:themeColor="background1" w:themeShade="80"/>
          </w:rPr>
          <w:fldChar w:fldCharType="begin"/>
        </w:r>
        <w:r w:rsidRPr="00C566BC">
          <w:rPr>
            <w:rFonts w:asciiTheme="minorHAnsi" w:hAnsiTheme="minorHAnsi" w:cstheme="minorHAnsi"/>
            <w:color w:val="808080" w:themeColor="background1" w:themeShade="80"/>
          </w:rPr>
          <w:instrText xml:space="preserve"> PAGE   \* MERGEFORMAT </w:instrText>
        </w:r>
        <w:r w:rsidRPr="00C566BC">
          <w:rPr>
            <w:rFonts w:asciiTheme="minorHAnsi" w:hAnsiTheme="minorHAnsi" w:cstheme="minorHAnsi"/>
            <w:color w:val="808080" w:themeColor="background1" w:themeShade="80"/>
          </w:rPr>
          <w:fldChar w:fldCharType="separate"/>
        </w:r>
        <w:r w:rsidR="00D90487">
          <w:rPr>
            <w:rFonts w:asciiTheme="minorHAnsi" w:hAnsiTheme="minorHAnsi" w:cstheme="minorHAnsi"/>
            <w:noProof/>
            <w:color w:val="808080" w:themeColor="background1" w:themeShade="80"/>
          </w:rPr>
          <w:t>33</w:t>
        </w:r>
        <w:r w:rsidRPr="00C566BC">
          <w:rPr>
            <w:rFonts w:asciiTheme="minorHAnsi" w:hAnsiTheme="minorHAnsi" w:cstheme="minorHAnsi"/>
            <w:color w:val="808080" w:themeColor="background1" w:themeShade="80"/>
          </w:rPr>
          <w:fldChar w:fldCharType="end"/>
        </w:r>
      </w:p>
    </w:sdtContent>
  </w:sdt>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tilliumText22L Xb" w:hAnsi="TitilliumText22L Xb"/>
      </w:rPr>
      <w:id w:val="-1484773065"/>
      <w:docPartObj>
        <w:docPartGallery w:val="Page Numbers (Bottom of Page)"/>
        <w:docPartUnique/>
      </w:docPartObj>
    </w:sdtPr>
    <w:sdtEndPr/>
    <w:sdtContent>
      <w:p w:rsidR="0002323C" w:rsidRPr="0036226B" w:rsidRDefault="0002323C" w:rsidP="00512341">
        <w:pPr>
          <w:pStyle w:val="Footer"/>
          <w:tabs>
            <w:tab w:val="clear" w:pos="4320"/>
            <w:tab w:val="clear" w:pos="8640"/>
            <w:tab w:val="center" w:pos="4680"/>
            <w:tab w:val="right" w:pos="12870"/>
          </w:tabs>
          <w:rPr>
            <w:rFonts w:ascii="TitilliumText22L Xb" w:hAnsi="TitilliumText22L Xb"/>
          </w:rPr>
        </w:pPr>
        <w:r w:rsidRPr="00C566BC">
          <w:rPr>
            <w:rFonts w:asciiTheme="minorHAnsi" w:hAnsiTheme="minorHAnsi" w:cstheme="minorHAnsi"/>
            <w:noProof/>
            <w:color w:val="808080" w:themeColor="background1" w:themeShade="80"/>
          </w:rPr>
          <w:drawing>
            <wp:anchor distT="0" distB="0" distL="114300" distR="114300" simplePos="0" relativeHeight="251678208" behindDoc="0" locked="0" layoutInCell="1" allowOverlap="1" wp14:anchorId="6608E901" wp14:editId="7EDFBAC7">
              <wp:simplePos x="0" y="0"/>
              <wp:positionH relativeFrom="column">
                <wp:posOffset>-6350</wp:posOffset>
              </wp:positionH>
              <wp:positionV relativeFrom="paragraph">
                <wp:posOffset>43815</wp:posOffset>
              </wp:positionV>
              <wp:extent cx="692150" cy="127000"/>
              <wp:effectExtent l="19050" t="0" r="0" b="0"/>
              <wp:wrapNone/>
              <wp:docPr id="13" name="Picture 2" descr="nexant_rev (blue 3-4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ant_rev (blue 3-4in)"/>
                      <pic:cNvPicPr>
                        <a:picLocks noChangeAspect="1" noChangeArrowheads="1"/>
                      </pic:cNvPicPr>
                    </pic:nvPicPr>
                    <pic:blipFill>
                      <a:blip r:embed="rId1" cstate="screen"/>
                      <a:srcRect/>
                      <a:stretch>
                        <a:fillRect/>
                      </a:stretch>
                    </pic:blipFill>
                    <pic:spPr bwMode="auto">
                      <a:xfrm>
                        <a:off x="0" y="0"/>
                        <a:ext cx="692150" cy="127000"/>
                      </a:xfrm>
                      <a:prstGeom prst="rect">
                        <a:avLst/>
                      </a:prstGeom>
                      <a:noFill/>
                      <a:ln w="9525">
                        <a:noFill/>
                        <a:miter lim="800000"/>
                        <a:headEnd/>
                        <a:tailEnd/>
                      </a:ln>
                    </pic:spPr>
                  </pic:pic>
                </a:graphicData>
              </a:graphic>
            </wp:anchor>
          </w:drawing>
        </w:r>
        <w:r>
          <w:rPr>
            <w:rFonts w:ascii="TitilliumText22L Xb" w:hAnsi="TitilliumText22L Xb"/>
          </w:rPr>
          <w:tab/>
        </w:r>
        <w:r w:rsidRPr="00BF594A">
          <w:rPr>
            <w:rFonts w:asciiTheme="minorHAnsi" w:hAnsiTheme="minorHAnsi" w:cstheme="minorHAnsi"/>
            <w:sz w:val="16"/>
            <w:szCs w:val="16"/>
          </w:rPr>
          <w:fldChar w:fldCharType="begin"/>
        </w:r>
        <w:r w:rsidRPr="00BF594A">
          <w:rPr>
            <w:rFonts w:asciiTheme="minorHAnsi" w:hAnsiTheme="minorHAnsi" w:cstheme="minorHAnsi"/>
            <w:sz w:val="16"/>
            <w:szCs w:val="16"/>
          </w:rPr>
          <w:instrText xml:space="preserve"> STYLEREF  "Proposal Title"  \* MERGEFORMAT </w:instrText>
        </w:r>
        <w:r w:rsidRPr="00BF594A">
          <w:rPr>
            <w:rFonts w:asciiTheme="minorHAnsi" w:hAnsiTheme="minorHAnsi" w:cstheme="minorHAnsi"/>
            <w:noProof/>
            <w:sz w:val="16"/>
            <w:szCs w:val="16"/>
          </w:rPr>
          <w:fldChar w:fldCharType="end"/>
        </w:r>
        <w:r>
          <w:rPr>
            <w:rFonts w:ascii="TitilliumText22L Xb" w:hAnsi="TitilliumText22L Xb"/>
          </w:rPr>
          <w:tab/>
        </w:r>
        <w:r w:rsidRPr="00C566BC">
          <w:rPr>
            <w:rFonts w:asciiTheme="minorHAnsi" w:hAnsiTheme="minorHAnsi" w:cstheme="minorHAnsi"/>
            <w:color w:val="808080" w:themeColor="background1" w:themeShade="80"/>
          </w:rPr>
          <w:fldChar w:fldCharType="begin"/>
        </w:r>
        <w:r w:rsidRPr="00C566BC">
          <w:rPr>
            <w:rFonts w:asciiTheme="minorHAnsi" w:hAnsiTheme="minorHAnsi" w:cstheme="minorHAnsi"/>
            <w:color w:val="808080" w:themeColor="background1" w:themeShade="80"/>
          </w:rPr>
          <w:instrText xml:space="preserve"> PAGE   \* MERGEFORMAT </w:instrText>
        </w:r>
        <w:r w:rsidRPr="00C566BC">
          <w:rPr>
            <w:rFonts w:asciiTheme="minorHAnsi" w:hAnsiTheme="minorHAnsi" w:cstheme="minorHAnsi"/>
            <w:color w:val="808080" w:themeColor="background1" w:themeShade="80"/>
          </w:rPr>
          <w:fldChar w:fldCharType="separate"/>
        </w:r>
        <w:r w:rsidR="00D90487">
          <w:rPr>
            <w:rFonts w:asciiTheme="minorHAnsi" w:hAnsiTheme="minorHAnsi" w:cstheme="minorHAnsi"/>
            <w:noProof/>
            <w:color w:val="808080" w:themeColor="background1" w:themeShade="80"/>
          </w:rPr>
          <w:t>34</w:t>
        </w:r>
        <w:r w:rsidRPr="00C566BC">
          <w:rPr>
            <w:rFonts w:asciiTheme="minorHAnsi" w:hAnsiTheme="minorHAnsi" w:cstheme="minorHAnsi"/>
            <w:color w:val="808080" w:themeColor="background1" w:themeShade="80"/>
          </w:rPr>
          <w:fldChar w:fldCharType="end"/>
        </w:r>
      </w:p>
    </w:sdtContent>
  </w:sdt>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tilliumText22L Xb" w:hAnsi="TitilliumText22L Xb"/>
      </w:rPr>
      <w:id w:val="-2126458391"/>
      <w:docPartObj>
        <w:docPartGallery w:val="Page Numbers (Bottom of Page)"/>
        <w:docPartUnique/>
      </w:docPartObj>
    </w:sdtPr>
    <w:sdtEndPr/>
    <w:sdtContent>
      <w:p w:rsidR="0002323C" w:rsidRPr="0036226B" w:rsidRDefault="0002323C" w:rsidP="00DF6AAD">
        <w:pPr>
          <w:pStyle w:val="Footer"/>
          <w:tabs>
            <w:tab w:val="clear" w:pos="4320"/>
            <w:tab w:val="clear" w:pos="8640"/>
            <w:tab w:val="center" w:pos="4680"/>
            <w:tab w:val="left" w:pos="9000"/>
            <w:tab w:val="right" w:pos="12780"/>
          </w:tabs>
          <w:rPr>
            <w:rFonts w:ascii="TitilliumText22L Xb" w:hAnsi="TitilliumText22L Xb"/>
          </w:rPr>
        </w:pPr>
        <w:r w:rsidRPr="00C566BC">
          <w:rPr>
            <w:rFonts w:asciiTheme="minorHAnsi" w:hAnsiTheme="minorHAnsi" w:cstheme="minorHAnsi"/>
            <w:noProof/>
            <w:color w:val="808080" w:themeColor="background1" w:themeShade="80"/>
          </w:rPr>
          <w:drawing>
            <wp:anchor distT="0" distB="0" distL="114300" distR="114300" simplePos="0" relativeHeight="251680256" behindDoc="0" locked="0" layoutInCell="1" allowOverlap="1" wp14:anchorId="4F97BA78" wp14:editId="0AD961F7">
              <wp:simplePos x="0" y="0"/>
              <wp:positionH relativeFrom="column">
                <wp:posOffset>-6350</wp:posOffset>
              </wp:positionH>
              <wp:positionV relativeFrom="paragraph">
                <wp:posOffset>43815</wp:posOffset>
              </wp:positionV>
              <wp:extent cx="692150" cy="127000"/>
              <wp:effectExtent l="19050" t="0" r="0" b="0"/>
              <wp:wrapNone/>
              <wp:docPr id="23" name="Picture 2" descr="nexant_rev (blue 3-4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ant_rev (blue 3-4in)"/>
                      <pic:cNvPicPr>
                        <a:picLocks noChangeAspect="1" noChangeArrowheads="1"/>
                      </pic:cNvPicPr>
                    </pic:nvPicPr>
                    <pic:blipFill>
                      <a:blip r:embed="rId1" cstate="screen"/>
                      <a:srcRect/>
                      <a:stretch>
                        <a:fillRect/>
                      </a:stretch>
                    </pic:blipFill>
                    <pic:spPr bwMode="auto">
                      <a:xfrm>
                        <a:off x="0" y="0"/>
                        <a:ext cx="692150" cy="127000"/>
                      </a:xfrm>
                      <a:prstGeom prst="rect">
                        <a:avLst/>
                      </a:prstGeom>
                      <a:noFill/>
                      <a:ln w="9525">
                        <a:noFill/>
                        <a:miter lim="800000"/>
                        <a:headEnd/>
                        <a:tailEnd/>
                      </a:ln>
                    </pic:spPr>
                  </pic:pic>
                </a:graphicData>
              </a:graphic>
            </wp:anchor>
          </w:drawing>
        </w:r>
        <w:r>
          <w:rPr>
            <w:rFonts w:ascii="TitilliumText22L Xb" w:hAnsi="TitilliumText22L Xb"/>
          </w:rPr>
          <w:tab/>
        </w:r>
        <w:r w:rsidRPr="00BF594A">
          <w:rPr>
            <w:rFonts w:asciiTheme="minorHAnsi" w:hAnsiTheme="minorHAnsi" w:cstheme="minorHAnsi"/>
            <w:sz w:val="16"/>
            <w:szCs w:val="16"/>
          </w:rPr>
          <w:fldChar w:fldCharType="begin"/>
        </w:r>
        <w:r w:rsidRPr="00BF594A">
          <w:rPr>
            <w:rFonts w:asciiTheme="minorHAnsi" w:hAnsiTheme="minorHAnsi" w:cstheme="minorHAnsi"/>
            <w:sz w:val="16"/>
            <w:szCs w:val="16"/>
          </w:rPr>
          <w:instrText xml:space="preserve"> STYLEREF  "Proposal Title"  \* MERGEFORMAT </w:instrText>
        </w:r>
        <w:r w:rsidRPr="00BF594A">
          <w:rPr>
            <w:rFonts w:asciiTheme="minorHAnsi" w:hAnsiTheme="minorHAnsi" w:cstheme="minorHAnsi"/>
            <w:noProof/>
            <w:sz w:val="16"/>
            <w:szCs w:val="16"/>
          </w:rPr>
          <w:fldChar w:fldCharType="end"/>
        </w:r>
        <w:r>
          <w:rPr>
            <w:rFonts w:ascii="TitilliumText22L Xb" w:hAnsi="TitilliumText22L Xb"/>
          </w:rPr>
          <w:tab/>
        </w:r>
        <w:r w:rsidRPr="00C566BC">
          <w:rPr>
            <w:rFonts w:asciiTheme="minorHAnsi" w:hAnsiTheme="minorHAnsi" w:cstheme="minorHAnsi"/>
            <w:color w:val="808080" w:themeColor="background1" w:themeShade="80"/>
          </w:rPr>
          <w:fldChar w:fldCharType="begin"/>
        </w:r>
        <w:r w:rsidRPr="00C566BC">
          <w:rPr>
            <w:rFonts w:asciiTheme="minorHAnsi" w:hAnsiTheme="minorHAnsi" w:cstheme="minorHAnsi"/>
            <w:color w:val="808080" w:themeColor="background1" w:themeShade="80"/>
          </w:rPr>
          <w:instrText xml:space="preserve"> PAGE   \* MERGEFORMAT </w:instrText>
        </w:r>
        <w:r w:rsidRPr="00C566BC">
          <w:rPr>
            <w:rFonts w:asciiTheme="minorHAnsi" w:hAnsiTheme="minorHAnsi" w:cstheme="minorHAnsi"/>
            <w:color w:val="808080" w:themeColor="background1" w:themeShade="80"/>
          </w:rPr>
          <w:fldChar w:fldCharType="separate"/>
        </w:r>
        <w:r w:rsidR="00D90487">
          <w:rPr>
            <w:rFonts w:asciiTheme="minorHAnsi" w:hAnsiTheme="minorHAnsi" w:cstheme="minorHAnsi"/>
            <w:noProof/>
            <w:color w:val="808080" w:themeColor="background1" w:themeShade="80"/>
          </w:rPr>
          <w:t>40</w:t>
        </w:r>
        <w:r w:rsidRPr="00C566BC">
          <w:rPr>
            <w:rFonts w:asciiTheme="minorHAnsi" w:hAnsiTheme="minorHAnsi" w:cstheme="minorHAnsi"/>
            <w:color w:val="808080" w:themeColor="background1" w:themeShade="80"/>
          </w:rPr>
          <w:fldChar w:fldCharType="end"/>
        </w:r>
      </w:p>
    </w:sdtContent>
  </w:sdt>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tilliumText22L Xb" w:hAnsi="TitilliumText22L Xb"/>
      </w:rPr>
      <w:id w:val="200289816"/>
      <w:docPartObj>
        <w:docPartGallery w:val="Page Numbers (Bottom of Page)"/>
        <w:docPartUnique/>
      </w:docPartObj>
    </w:sdtPr>
    <w:sdtEndPr/>
    <w:sdtContent>
      <w:p w:rsidR="0002323C" w:rsidRPr="0036226B" w:rsidRDefault="0002323C" w:rsidP="007933F9">
        <w:pPr>
          <w:pStyle w:val="Footer"/>
          <w:tabs>
            <w:tab w:val="clear" w:pos="4320"/>
            <w:tab w:val="clear" w:pos="8640"/>
            <w:tab w:val="center" w:pos="6480"/>
            <w:tab w:val="right" w:pos="12780"/>
          </w:tabs>
          <w:rPr>
            <w:rFonts w:ascii="TitilliumText22L Xb" w:hAnsi="TitilliumText22L Xb"/>
          </w:rPr>
        </w:pPr>
        <w:r w:rsidRPr="00C566BC">
          <w:rPr>
            <w:rFonts w:asciiTheme="minorHAnsi" w:hAnsiTheme="minorHAnsi" w:cstheme="minorHAnsi"/>
            <w:noProof/>
            <w:color w:val="808080" w:themeColor="background1" w:themeShade="80"/>
          </w:rPr>
          <w:drawing>
            <wp:anchor distT="0" distB="0" distL="114300" distR="114300" simplePos="0" relativeHeight="251663872" behindDoc="0" locked="0" layoutInCell="1" allowOverlap="1" wp14:anchorId="3988B309" wp14:editId="4C492FFE">
              <wp:simplePos x="0" y="0"/>
              <wp:positionH relativeFrom="column">
                <wp:posOffset>-6350</wp:posOffset>
              </wp:positionH>
              <wp:positionV relativeFrom="paragraph">
                <wp:posOffset>43815</wp:posOffset>
              </wp:positionV>
              <wp:extent cx="692150" cy="127000"/>
              <wp:effectExtent l="19050" t="0" r="0" b="0"/>
              <wp:wrapNone/>
              <wp:docPr id="2" name="Picture 2" descr="nexant_rev (blue 3-4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ant_rev (blue 3-4in)"/>
                      <pic:cNvPicPr>
                        <a:picLocks noChangeAspect="1" noChangeArrowheads="1"/>
                      </pic:cNvPicPr>
                    </pic:nvPicPr>
                    <pic:blipFill>
                      <a:blip r:embed="rId1" cstate="screen"/>
                      <a:srcRect/>
                      <a:stretch>
                        <a:fillRect/>
                      </a:stretch>
                    </pic:blipFill>
                    <pic:spPr bwMode="auto">
                      <a:xfrm>
                        <a:off x="0" y="0"/>
                        <a:ext cx="692150" cy="127000"/>
                      </a:xfrm>
                      <a:prstGeom prst="rect">
                        <a:avLst/>
                      </a:prstGeom>
                      <a:noFill/>
                      <a:ln w="9525">
                        <a:noFill/>
                        <a:miter lim="800000"/>
                        <a:headEnd/>
                        <a:tailEnd/>
                      </a:ln>
                    </pic:spPr>
                  </pic:pic>
                </a:graphicData>
              </a:graphic>
            </wp:anchor>
          </w:drawing>
        </w:r>
        <w:r>
          <w:rPr>
            <w:rFonts w:ascii="TitilliumText22L Xb" w:hAnsi="TitilliumText22L Xb"/>
          </w:rPr>
          <w:tab/>
        </w:r>
        <w:r w:rsidRPr="00BF594A">
          <w:rPr>
            <w:rFonts w:asciiTheme="minorHAnsi" w:hAnsiTheme="minorHAnsi" w:cstheme="minorHAnsi"/>
            <w:sz w:val="16"/>
            <w:szCs w:val="16"/>
          </w:rPr>
          <w:fldChar w:fldCharType="begin"/>
        </w:r>
        <w:r w:rsidRPr="00BF594A">
          <w:rPr>
            <w:rFonts w:asciiTheme="minorHAnsi" w:hAnsiTheme="minorHAnsi" w:cstheme="minorHAnsi"/>
            <w:sz w:val="16"/>
            <w:szCs w:val="16"/>
          </w:rPr>
          <w:instrText xml:space="preserve"> STYLEREF  "Proposal Title"  \* MERGEFORMAT </w:instrText>
        </w:r>
        <w:r w:rsidRPr="00BF594A">
          <w:rPr>
            <w:rFonts w:asciiTheme="minorHAnsi" w:hAnsiTheme="minorHAnsi" w:cstheme="minorHAnsi"/>
            <w:noProof/>
            <w:sz w:val="16"/>
            <w:szCs w:val="16"/>
          </w:rPr>
          <w:fldChar w:fldCharType="end"/>
        </w:r>
        <w:r>
          <w:rPr>
            <w:rFonts w:ascii="TitilliumText22L Xb" w:hAnsi="TitilliumText22L Xb"/>
          </w:rPr>
          <w:tab/>
        </w:r>
        <w:r w:rsidRPr="00C566BC">
          <w:rPr>
            <w:rFonts w:asciiTheme="minorHAnsi" w:hAnsiTheme="minorHAnsi" w:cstheme="minorHAnsi"/>
            <w:color w:val="808080" w:themeColor="background1" w:themeShade="80"/>
          </w:rPr>
          <w:fldChar w:fldCharType="begin"/>
        </w:r>
        <w:r w:rsidRPr="00C566BC">
          <w:rPr>
            <w:rFonts w:asciiTheme="minorHAnsi" w:hAnsiTheme="minorHAnsi" w:cstheme="minorHAnsi"/>
            <w:color w:val="808080" w:themeColor="background1" w:themeShade="80"/>
          </w:rPr>
          <w:instrText xml:space="preserve"> PAGE   \* MERGEFORMAT </w:instrText>
        </w:r>
        <w:r w:rsidRPr="00C566BC">
          <w:rPr>
            <w:rFonts w:asciiTheme="minorHAnsi" w:hAnsiTheme="minorHAnsi" w:cstheme="minorHAnsi"/>
            <w:color w:val="808080" w:themeColor="background1" w:themeShade="80"/>
          </w:rPr>
          <w:fldChar w:fldCharType="separate"/>
        </w:r>
        <w:r w:rsidR="00D90487">
          <w:rPr>
            <w:rFonts w:asciiTheme="minorHAnsi" w:hAnsiTheme="minorHAnsi" w:cstheme="minorHAnsi"/>
            <w:noProof/>
            <w:color w:val="808080" w:themeColor="background1" w:themeShade="80"/>
          </w:rPr>
          <w:t>41</w:t>
        </w:r>
        <w:r w:rsidRPr="00C566BC">
          <w:rPr>
            <w:rFonts w:asciiTheme="minorHAnsi" w:hAnsiTheme="minorHAnsi" w:cstheme="minorHAnsi"/>
            <w:color w:val="808080" w:themeColor="background1" w:themeShade="80"/>
          </w:rPr>
          <w:fldChar w:fldCharType="end"/>
        </w:r>
      </w:p>
    </w:sdtContent>
  </w:sdt>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tilliumText22L Xb" w:hAnsi="TitilliumText22L Xb"/>
      </w:rPr>
      <w:id w:val="-1549906615"/>
      <w:docPartObj>
        <w:docPartGallery w:val="Page Numbers (Bottom of Page)"/>
        <w:docPartUnique/>
      </w:docPartObj>
    </w:sdtPr>
    <w:sdtEndPr/>
    <w:sdtContent>
      <w:p w:rsidR="0002323C" w:rsidRPr="0036226B" w:rsidRDefault="0002323C" w:rsidP="00DF6AAD">
        <w:pPr>
          <w:pStyle w:val="Footer"/>
          <w:tabs>
            <w:tab w:val="clear" w:pos="4320"/>
            <w:tab w:val="clear" w:pos="8640"/>
            <w:tab w:val="center" w:pos="4680"/>
            <w:tab w:val="left" w:pos="9000"/>
            <w:tab w:val="right" w:pos="12780"/>
          </w:tabs>
          <w:rPr>
            <w:rFonts w:ascii="TitilliumText22L Xb" w:hAnsi="TitilliumText22L Xb"/>
          </w:rPr>
        </w:pPr>
        <w:r w:rsidRPr="00C566BC">
          <w:rPr>
            <w:rFonts w:asciiTheme="minorHAnsi" w:hAnsiTheme="minorHAnsi" w:cstheme="minorHAnsi"/>
            <w:noProof/>
            <w:color w:val="808080" w:themeColor="background1" w:themeShade="80"/>
          </w:rPr>
          <w:drawing>
            <wp:anchor distT="0" distB="0" distL="114300" distR="114300" simplePos="0" relativeHeight="251660800" behindDoc="0" locked="0" layoutInCell="1" allowOverlap="1" wp14:anchorId="37A45D91" wp14:editId="37A6435E">
              <wp:simplePos x="0" y="0"/>
              <wp:positionH relativeFrom="column">
                <wp:posOffset>-6350</wp:posOffset>
              </wp:positionH>
              <wp:positionV relativeFrom="paragraph">
                <wp:posOffset>43815</wp:posOffset>
              </wp:positionV>
              <wp:extent cx="692150" cy="127000"/>
              <wp:effectExtent l="19050" t="0" r="0" b="0"/>
              <wp:wrapNone/>
              <wp:docPr id="18" name="Picture 2" descr="nexant_rev (blue 3-4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ant_rev (blue 3-4in)"/>
                      <pic:cNvPicPr>
                        <a:picLocks noChangeAspect="1" noChangeArrowheads="1"/>
                      </pic:cNvPicPr>
                    </pic:nvPicPr>
                    <pic:blipFill>
                      <a:blip r:embed="rId1" cstate="screen"/>
                      <a:srcRect/>
                      <a:stretch>
                        <a:fillRect/>
                      </a:stretch>
                    </pic:blipFill>
                    <pic:spPr bwMode="auto">
                      <a:xfrm>
                        <a:off x="0" y="0"/>
                        <a:ext cx="692150" cy="127000"/>
                      </a:xfrm>
                      <a:prstGeom prst="rect">
                        <a:avLst/>
                      </a:prstGeom>
                      <a:noFill/>
                      <a:ln w="9525">
                        <a:noFill/>
                        <a:miter lim="800000"/>
                        <a:headEnd/>
                        <a:tailEnd/>
                      </a:ln>
                    </pic:spPr>
                  </pic:pic>
                </a:graphicData>
              </a:graphic>
            </wp:anchor>
          </w:drawing>
        </w:r>
        <w:r>
          <w:rPr>
            <w:rFonts w:ascii="TitilliumText22L Xb" w:hAnsi="TitilliumText22L Xb"/>
          </w:rPr>
          <w:tab/>
        </w:r>
        <w:r w:rsidRPr="00BF594A">
          <w:rPr>
            <w:rFonts w:asciiTheme="minorHAnsi" w:hAnsiTheme="minorHAnsi" w:cstheme="minorHAnsi"/>
            <w:sz w:val="16"/>
            <w:szCs w:val="16"/>
          </w:rPr>
          <w:fldChar w:fldCharType="begin"/>
        </w:r>
        <w:r w:rsidRPr="00BF594A">
          <w:rPr>
            <w:rFonts w:asciiTheme="minorHAnsi" w:hAnsiTheme="minorHAnsi" w:cstheme="minorHAnsi"/>
            <w:sz w:val="16"/>
            <w:szCs w:val="16"/>
          </w:rPr>
          <w:instrText xml:space="preserve"> STYLEREF  "Proposal Title"  \* MERGEFORMAT </w:instrText>
        </w:r>
        <w:r w:rsidRPr="00BF594A">
          <w:rPr>
            <w:rFonts w:asciiTheme="minorHAnsi" w:hAnsiTheme="minorHAnsi" w:cstheme="minorHAnsi"/>
            <w:noProof/>
            <w:sz w:val="16"/>
            <w:szCs w:val="16"/>
          </w:rPr>
          <w:fldChar w:fldCharType="end"/>
        </w:r>
        <w:r>
          <w:rPr>
            <w:rFonts w:ascii="TitilliumText22L Xb" w:hAnsi="TitilliumText22L Xb"/>
          </w:rPr>
          <w:tab/>
        </w:r>
        <w:r w:rsidRPr="00C566BC">
          <w:rPr>
            <w:rFonts w:asciiTheme="minorHAnsi" w:hAnsiTheme="minorHAnsi" w:cstheme="minorHAnsi"/>
            <w:color w:val="808080" w:themeColor="background1" w:themeShade="80"/>
          </w:rPr>
          <w:fldChar w:fldCharType="begin"/>
        </w:r>
        <w:r w:rsidRPr="00C566BC">
          <w:rPr>
            <w:rFonts w:asciiTheme="minorHAnsi" w:hAnsiTheme="minorHAnsi" w:cstheme="minorHAnsi"/>
            <w:color w:val="808080" w:themeColor="background1" w:themeShade="80"/>
          </w:rPr>
          <w:instrText xml:space="preserve"> PAGE   \* MERGEFORMAT </w:instrText>
        </w:r>
        <w:r w:rsidRPr="00C566BC">
          <w:rPr>
            <w:rFonts w:asciiTheme="minorHAnsi" w:hAnsiTheme="minorHAnsi" w:cstheme="minorHAnsi"/>
            <w:color w:val="808080" w:themeColor="background1" w:themeShade="80"/>
          </w:rPr>
          <w:fldChar w:fldCharType="separate"/>
        </w:r>
        <w:r w:rsidR="00D90487">
          <w:rPr>
            <w:rFonts w:asciiTheme="minorHAnsi" w:hAnsiTheme="minorHAnsi" w:cstheme="minorHAnsi"/>
            <w:noProof/>
            <w:color w:val="808080" w:themeColor="background1" w:themeShade="80"/>
          </w:rPr>
          <w:t>45</w:t>
        </w:r>
        <w:r w:rsidRPr="00C566BC">
          <w:rPr>
            <w:rFonts w:asciiTheme="minorHAnsi" w:hAnsiTheme="minorHAnsi" w:cstheme="minorHAnsi"/>
            <w:color w:val="808080" w:themeColor="background1" w:themeShade="8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0318"/>
      <w:docPartObj>
        <w:docPartGallery w:val="Page Numbers (Bottom of Page)"/>
        <w:docPartUnique/>
      </w:docPartObj>
    </w:sdtPr>
    <w:sdtEndPr/>
    <w:sdtContent>
      <w:p w:rsidR="0002323C" w:rsidRDefault="00D90487" w:rsidP="00DB35F9">
        <w:pPr>
          <w:pStyle w:val="Footer"/>
          <w:jc w:val="right"/>
        </w:pPr>
      </w:p>
    </w:sdtContent>
  </w:sdt>
  <w:p w:rsidR="0002323C" w:rsidRDefault="0002323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323C" w:rsidRPr="00321715" w:rsidRDefault="0002323C" w:rsidP="00B50663">
    <w:pPr>
      <w:pStyle w:val="Footer"/>
      <w:jc w:val="right"/>
      <w:rPr>
        <w:sz w:val="20"/>
        <w:szCs w:val="20"/>
      </w:rPr>
    </w:pPr>
  </w:p>
  <w:p w:rsidR="0002323C" w:rsidRDefault="0002323C">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tilliumText22L Xb" w:hAnsi="TitilliumText22L Xb"/>
      </w:rPr>
      <w:id w:val="132615866"/>
      <w:docPartObj>
        <w:docPartGallery w:val="Page Numbers (Bottom of Page)"/>
        <w:docPartUnique/>
      </w:docPartObj>
    </w:sdtPr>
    <w:sdtEndPr/>
    <w:sdtContent>
      <w:p w:rsidR="0002323C" w:rsidRPr="0036226B" w:rsidRDefault="0002323C" w:rsidP="00DF6AAD">
        <w:pPr>
          <w:pStyle w:val="Footer"/>
          <w:tabs>
            <w:tab w:val="clear" w:pos="4320"/>
            <w:tab w:val="clear" w:pos="8640"/>
            <w:tab w:val="center" w:pos="4680"/>
            <w:tab w:val="right" w:pos="9090"/>
          </w:tabs>
          <w:rPr>
            <w:rFonts w:ascii="TitilliumText22L Xb" w:hAnsi="TitilliumText22L Xb"/>
          </w:rPr>
        </w:pPr>
        <w:r w:rsidRPr="00C566BC">
          <w:rPr>
            <w:rFonts w:asciiTheme="minorHAnsi" w:hAnsiTheme="minorHAnsi" w:cstheme="minorHAnsi"/>
            <w:noProof/>
            <w:color w:val="808080" w:themeColor="background1" w:themeShade="80"/>
          </w:rPr>
          <w:drawing>
            <wp:anchor distT="0" distB="0" distL="114300" distR="114300" simplePos="0" relativeHeight="251653632" behindDoc="0" locked="0" layoutInCell="1" allowOverlap="1" wp14:anchorId="1855CFCF" wp14:editId="2F1208E6">
              <wp:simplePos x="0" y="0"/>
              <wp:positionH relativeFrom="column">
                <wp:posOffset>-6350</wp:posOffset>
              </wp:positionH>
              <wp:positionV relativeFrom="paragraph">
                <wp:posOffset>43815</wp:posOffset>
              </wp:positionV>
              <wp:extent cx="692150" cy="127000"/>
              <wp:effectExtent l="19050" t="0" r="0" b="0"/>
              <wp:wrapNone/>
              <wp:docPr id="9" name="Picture 2" descr="nexant_rev (blue 3-4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ant_rev (blue 3-4in)"/>
                      <pic:cNvPicPr>
                        <a:picLocks noChangeAspect="1" noChangeArrowheads="1"/>
                      </pic:cNvPicPr>
                    </pic:nvPicPr>
                    <pic:blipFill>
                      <a:blip r:embed="rId1" cstate="screen"/>
                      <a:srcRect/>
                      <a:stretch>
                        <a:fillRect/>
                      </a:stretch>
                    </pic:blipFill>
                    <pic:spPr bwMode="auto">
                      <a:xfrm>
                        <a:off x="0" y="0"/>
                        <a:ext cx="692150" cy="127000"/>
                      </a:xfrm>
                      <a:prstGeom prst="rect">
                        <a:avLst/>
                      </a:prstGeom>
                      <a:noFill/>
                      <a:ln w="9525">
                        <a:noFill/>
                        <a:miter lim="800000"/>
                        <a:headEnd/>
                        <a:tailEnd/>
                      </a:ln>
                    </pic:spPr>
                  </pic:pic>
                </a:graphicData>
              </a:graphic>
            </wp:anchor>
          </w:drawing>
        </w:r>
        <w:r>
          <w:rPr>
            <w:rFonts w:ascii="TitilliumText22L Xb" w:hAnsi="TitilliumText22L Xb"/>
          </w:rPr>
          <w:tab/>
        </w:r>
        <w:r w:rsidRPr="00BF594A">
          <w:rPr>
            <w:rFonts w:asciiTheme="minorHAnsi" w:hAnsiTheme="minorHAnsi" w:cstheme="minorHAnsi"/>
            <w:sz w:val="16"/>
            <w:szCs w:val="16"/>
          </w:rPr>
          <w:fldChar w:fldCharType="begin"/>
        </w:r>
        <w:r w:rsidRPr="00BF594A">
          <w:rPr>
            <w:rFonts w:asciiTheme="minorHAnsi" w:hAnsiTheme="minorHAnsi" w:cstheme="minorHAnsi"/>
            <w:sz w:val="16"/>
            <w:szCs w:val="16"/>
          </w:rPr>
          <w:instrText xml:space="preserve"> STYLEREF  "Proposal Title"  \* MERGEFORMAT </w:instrText>
        </w:r>
        <w:r w:rsidRPr="00BF594A">
          <w:rPr>
            <w:rFonts w:asciiTheme="minorHAnsi" w:hAnsiTheme="minorHAnsi" w:cstheme="minorHAnsi"/>
            <w:noProof/>
            <w:sz w:val="16"/>
            <w:szCs w:val="16"/>
          </w:rPr>
          <w:fldChar w:fldCharType="end"/>
        </w:r>
        <w:r>
          <w:rPr>
            <w:rFonts w:ascii="TitilliumText22L Xb" w:hAnsi="TitilliumText22L Xb"/>
          </w:rPr>
          <w:tab/>
        </w:r>
        <w:r w:rsidRPr="00C566BC">
          <w:rPr>
            <w:rFonts w:asciiTheme="minorHAnsi" w:hAnsiTheme="minorHAnsi" w:cstheme="minorHAnsi"/>
            <w:color w:val="808080" w:themeColor="background1" w:themeShade="80"/>
          </w:rPr>
          <w:fldChar w:fldCharType="begin"/>
        </w:r>
        <w:r w:rsidRPr="00C566BC">
          <w:rPr>
            <w:rFonts w:asciiTheme="minorHAnsi" w:hAnsiTheme="minorHAnsi" w:cstheme="minorHAnsi"/>
            <w:color w:val="808080" w:themeColor="background1" w:themeShade="80"/>
          </w:rPr>
          <w:instrText xml:space="preserve"> PAGE   \* MERGEFORMAT </w:instrText>
        </w:r>
        <w:r w:rsidRPr="00C566BC">
          <w:rPr>
            <w:rFonts w:asciiTheme="minorHAnsi" w:hAnsiTheme="minorHAnsi" w:cstheme="minorHAnsi"/>
            <w:color w:val="808080" w:themeColor="background1" w:themeShade="80"/>
          </w:rPr>
          <w:fldChar w:fldCharType="separate"/>
        </w:r>
        <w:r w:rsidR="00D90487">
          <w:rPr>
            <w:rFonts w:asciiTheme="minorHAnsi" w:hAnsiTheme="minorHAnsi" w:cstheme="minorHAnsi"/>
            <w:noProof/>
            <w:color w:val="808080" w:themeColor="background1" w:themeShade="80"/>
          </w:rPr>
          <w:t>21</w:t>
        </w:r>
        <w:r w:rsidRPr="00C566BC">
          <w:rPr>
            <w:rFonts w:asciiTheme="minorHAnsi" w:hAnsiTheme="minorHAnsi" w:cstheme="minorHAnsi"/>
            <w:color w:val="808080" w:themeColor="background1" w:themeShade="80"/>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323C" w:rsidRPr="00321715" w:rsidRDefault="0002323C" w:rsidP="00B50663">
    <w:pPr>
      <w:pStyle w:val="Footer"/>
      <w:jc w:val="right"/>
      <w:rPr>
        <w:sz w:val="20"/>
        <w:szCs w:val="20"/>
      </w:rPr>
    </w:pPr>
    <w:r w:rsidRPr="009D111C">
      <w:rPr>
        <w:rStyle w:val="PageNumber"/>
        <w:sz w:val="20"/>
        <w:szCs w:val="20"/>
      </w:rPr>
      <w:fldChar w:fldCharType="begin"/>
    </w:r>
    <w:r w:rsidRPr="009D111C">
      <w:rPr>
        <w:rStyle w:val="PageNumber"/>
        <w:sz w:val="20"/>
        <w:szCs w:val="20"/>
      </w:rPr>
      <w:instrText xml:space="preserve">PAGE  </w:instrText>
    </w:r>
    <w:r w:rsidRPr="009D111C">
      <w:rPr>
        <w:rStyle w:val="PageNumber"/>
        <w:sz w:val="20"/>
        <w:szCs w:val="20"/>
      </w:rPr>
      <w:fldChar w:fldCharType="separate"/>
    </w:r>
    <w:r>
      <w:rPr>
        <w:rStyle w:val="PageNumber"/>
        <w:noProof/>
        <w:sz w:val="20"/>
        <w:szCs w:val="20"/>
      </w:rPr>
      <w:t>58</w:t>
    </w:r>
    <w:r w:rsidRPr="009D111C">
      <w:rPr>
        <w:rStyle w:val="PageNumber"/>
        <w:sz w:val="20"/>
        <w:szCs w:val="20"/>
      </w:rPr>
      <w:fldChar w:fldCharType="end"/>
    </w:r>
  </w:p>
  <w:p w:rsidR="0002323C" w:rsidRDefault="0002323C">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tilliumText22L Xb" w:hAnsi="TitilliumText22L Xb"/>
      </w:rPr>
      <w:id w:val="-364060700"/>
      <w:docPartObj>
        <w:docPartGallery w:val="Page Numbers (Bottom of Page)"/>
        <w:docPartUnique/>
      </w:docPartObj>
    </w:sdtPr>
    <w:sdtEndPr/>
    <w:sdtContent>
      <w:p w:rsidR="0002323C" w:rsidRPr="0036226B" w:rsidRDefault="0002323C" w:rsidP="00512341">
        <w:pPr>
          <w:pStyle w:val="Footer"/>
          <w:tabs>
            <w:tab w:val="clear" w:pos="4320"/>
            <w:tab w:val="clear" w:pos="8640"/>
            <w:tab w:val="center" w:pos="4680"/>
            <w:tab w:val="left" w:pos="8565"/>
            <w:tab w:val="left" w:pos="9000"/>
            <w:tab w:val="right" w:pos="12780"/>
          </w:tabs>
          <w:rPr>
            <w:rFonts w:ascii="TitilliumText22L Xb" w:hAnsi="TitilliumText22L Xb"/>
          </w:rPr>
        </w:pPr>
        <w:r w:rsidRPr="00C566BC">
          <w:rPr>
            <w:rFonts w:asciiTheme="minorHAnsi" w:hAnsiTheme="minorHAnsi" w:cstheme="minorHAnsi"/>
            <w:noProof/>
            <w:color w:val="808080" w:themeColor="background1" w:themeShade="80"/>
          </w:rPr>
          <w:drawing>
            <wp:anchor distT="0" distB="0" distL="114300" distR="114300" simplePos="0" relativeHeight="251667968" behindDoc="0" locked="0" layoutInCell="1" allowOverlap="1" wp14:anchorId="712C0A64" wp14:editId="41978D72">
              <wp:simplePos x="0" y="0"/>
              <wp:positionH relativeFrom="column">
                <wp:posOffset>-6350</wp:posOffset>
              </wp:positionH>
              <wp:positionV relativeFrom="paragraph">
                <wp:posOffset>43815</wp:posOffset>
              </wp:positionV>
              <wp:extent cx="692150" cy="127000"/>
              <wp:effectExtent l="19050" t="0" r="0" b="0"/>
              <wp:wrapNone/>
              <wp:docPr id="10" name="Picture 2" descr="nexant_rev (blue 3-4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ant_rev (blue 3-4in)"/>
                      <pic:cNvPicPr>
                        <a:picLocks noChangeAspect="1" noChangeArrowheads="1"/>
                      </pic:cNvPicPr>
                    </pic:nvPicPr>
                    <pic:blipFill>
                      <a:blip r:embed="rId1" cstate="screen"/>
                      <a:srcRect/>
                      <a:stretch>
                        <a:fillRect/>
                      </a:stretch>
                    </pic:blipFill>
                    <pic:spPr bwMode="auto">
                      <a:xfrm>
                        <a:off x="0" y="0"/>
                        <a:ext cx="692150" cy="127000"/>
                      </a:xfrm>
                      <a:prstGeom prst="rect">
                        <a:avLst/>
                      </a:prstGeom>
                      <a:noFill/>
                      <a:ln w="9525">
                        <a:noFill/>
                        <a:miter lim="800000"/>
                        <a:headEnd/>
                        <a:tailEnd/>
                      </a:ln>
                    </pic:spPr>
                  </pic:pic>
                </a:graphicData>
              </a:graphic>
            </wp:anchor>
          </w:drawing>
        </w:r>
        <w:r>
          <w:rPr>
            <w:rFonts w:ascii="TitilliumText22L Xb" w:hAnsi="TitilliumText22L Xb"/>
          </w:rPr>
          <w:tab/>
        </w:r>
        <w:r w:rsidRPr="00BF594A">
          <w:rPr>
            <w:rFonts w:asciiTheme="minorHAnsi" w:hAnsiTheme="minorHAnsi" w:cstheme="minorHAnsi"/>
            <w:sz w:val="16"/>
            <w:szCs w:val="16"/>
          </w:rPr>
          <w:fldChar w:fldCharType="begin"/>
        </w:r>
        <w:r w:rsidRPr="00BF594A">
          <w:rPr>
            <w:rFonts w:asciiTheme="minorHAnsi" w:hAnsiTheme="minorHAnsi" w:cstheme="minorHAnsi"/>
            <w:sz w:val="16"/>
            <w:szCs w:val="16"/>
          </w:rPr>
          <w:instrText xml:space="preserve"> STYLEREF  "Proposal Title"  \* MERGEFORMAT </w:instrText>
        </w:r>
        <w:r w:rsidRPr="00BF594A">
          <w:rPr>
            <w:rFonts w:asciiTheme="minorHAnsi" w:hAnsiTheme="minorHAnsi" w:cstheme="minorHAnsi"/>
            <w:noProof/>
            <w:sz w:val="16"/>
            <w:szCs w:val="16"/>
          </w:rPr>
          <w:fldChar w:fldCharType="end"/>
        </w:r>
        <w:r>
          <w:rPr>
            <w:rFonts w:ascii="TitilliumText22L Xb" w:hAnsi="TitilliumText22L Xb"/>
          </w:rPr>
          <w:tab/>
        </w:r>
        <w:r>
          <w:rPr>
            <w:rFonts w:ascii="TitilliumText22L Xb" w:hAnsi="TitilliumText22L Xb"/>
          </w:rPr>
          <w:tab/>
        </w:r>
        <w:r w:rsidRPr="00C566BC">
          <w:rPr>
            <w:rFonts w:asciiTheme="minorHAnsi" w:hAnsiTheme="minorHAnsi" w:cstheme="minorHAnsi"/>
            <w:color w:val="808080" w:themeColor="background1" w:themeShade="80"/>
          </w:rPr>
          <w:fldChar w:fldCharType="begin"/>
        </w:r>
        <w:r w:rsidRPr="00C566BC">
          <w:rPr>
            <w:rFonts w:asciiTheme="minorHAnsi" w:hAnsiTheme="minorHAnsi" w:cstheme="minorHAnsi"/>
            <w:color w:val="808080" w:themeColor="background1" w:themeShade="80"/>
          </w:rPr>
          <w:instrText xml:space="preserve"> PAGE   \* MERGEFORMAT </w:instrText>
        </w:r>
        <w:r w:rsidRPr="00C566BC">
          <w:rPr>
            <w:rFonts w:asciiTheme="minorHAnsi" w:hAnsiTheme="minorHAnsi" w:cstheme="minorHAnsi"/>
            <w:color w:val="808080" w:themeColor="background1" w:themeShade="80"/>
          </w:rPr>
          <w:fldChar w:fldCharType="separate"/>
        </w:r>
        <w:r w:rsidR="00D90487">
          <w:rPr>
            <w:rFonts w:asciiTheme="minorHAnsi" w:hAnsiTheme="minorHAnsi" w:cstheme="minorHAnsi"/>
            <w:noProof/>
            <w:color w:val="808080" w:themeColor="background1" w:themeShade="80"/>
          </w:rPr>
          <w:t>23</w:t>
        </w:r>
        <w:r w:rsidRPr="00C566BC">
          <w:rPr>
            <w:rFonts w:asciiTheme="minorHAnsi" w:hAnsiTheme="minorHAnsi" w:cstheme="minorHAnsi"/>
            <w:color w:val="808080" w:themeColor="background1" w:themeShade="80"/>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tilliumText22L Xb" w:hAnsi="TitilliumText22L Xb"/>
      </w:rPr>
      <w:id w:val="843357580"/>
      <w:docPartObj>
        <w:docPartGallery w:val="Page Numbers (Bottom of Page)"/>
        <w:docPartUnique/>
      </w:docPartObj>
    </w:sdtPr>
    <w:sdtEndPr/>
    <w:sdtContent>
      <w:p w:rsidR="0002323C" w:rsidRPr="0036226B" w:rsidRDefault="0002323C" w:rsidP="00512341">
        <w:pPr>
          <w:pStyle w:val="Footer"/>
          <w:tabs>
            <w:tab w:val="clear" w:pos="4320"/>
            <w:tab w:val="clear" w:pos="8640"/>
            <w:tab w:val="right" w:pos="12780"/>
          </w:tabs>
          <w:rPr>
            <w:rFonts w:ascii="TitilliumText22L Xb" w:hAnsi="TitilliumText22L Xb"/>
          </w:rPr>
        </w:pPr>
        <w:r w:rsidRPr="00C566BC">
          <w:rPr>
            <w:rFonts w:asciiTheme="minorHAnsi" w:hAnsiTheme="minorHAnsi" w:cstheme="minorHAnsi"/>
            <w:noProof/>
            <w:color w:val="808080" w:themeColor="background1" w:themeShade="80"/>
          </w:rPr>
          <w:drawing>
            <wp:anchor distT="0" distB="0" distL="114300" distR="114300" simplePos="0" relativeHeight="251674112" behindDoc="0" locked="0" layoutInCell="1" allowOverlap="1" wp14:anchorId="4410FBD3" wp14:editId="5A99A2D8">
              <wp:simplePos x="0" y="0"/>
              <wp:positionH relativeFrom="column">
                <wp:posOffset>-6350</wp:posOffset>
              </wp:positionH>
              <wp:positionV relativeFrom="paragraph">
                <wp:posOffset>43815</wp:posOffset>
              </wp:positionV>
              <wp:extent cx="692150" cy="127000"/>
              <wp:effectExtent l="19050" t="0" r="0" b="0"/>
              <wp:wrapNone/>
              <wp:docPr id="6" name="Picture 2" descr="nexant_rev (blue 3-4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ant_rev (blue 3-4in)"/>
                      <pic:cNvPicPr>
                        <a:picLocks noChangeAspect="1" noChangeArrowheads="1"/>
                      </pic:cNvPicPr>
                    </pic:nvPicPr>
                    <pic:blipFill>
                      <a:blip r:embed="rId1" cstate="screen"/>
                      <a:srcRect/>
                      <a:stretch>
                        <a:fillRect/>
                      </a:stretch>
                    </pic:blipFill>
                    <pic:spPr bwMode="auto">
                      <a:xfrm>
                        <a:off x="0" y="0"/>
                        <a:ext cx="692150" cy="127000"/>
                      </a:xfrm>
                      <a:prstGeom prst="rect">
                        <a:avLst/>
                      </a:prstGeom>
                      <a:noFill/>
                      <a:ln w="9525">
                        <a:noFill/>
                        <a:miter lim="800000"/>
                        <a:headEnd/>
                        <a:tailEnd/>
                      </a:ln>
                    </pic:spPr>
                  </pic:pic>
                </a:graphicData>
              </a:graphic>
            </wp:anchor>
          </w:drawing>
        </w:r>
        <w:r>
          <w:rPr>
            <w:rFonts w:ascii="TitilliumText22L Xb" w:hAnsi="TitilliumText22L Xb"/>
          </w:rPr>
          <w:tab/>
        </w:r>
        <w:r w:rsidRPr="00BF594A">
          <w:rPr>
            <w:rFonts w:asciiTheme="minorHAnsi" w:hAnsiTheme="minorHAnsi" w:cstheme="minorHAnsi"/>
            <w:sz w:val="16"/>
            <w:szCs w:val="16"/>
          </w:rPr>
          <w:fldChar w:fldCharType="begin"/>
        </w:r>
        <w:r w:rsidRPr="00BF594A">
          <w:rPr>
            <w:rFonts w:asciiTheme="minorHAnsi" w:hAnsiTheme="minorHAnsi" w:cstheme="minorHAnsi"/>
            <w:sz w:val="16"/>
            <w:szCs w:val="16"/>
          </w:rPr>
          <w:instrText xml:space="preserve"> STYLEREF  "Proposal Title"  \* MERGEFORMAT </w:instrText>
        </w:r>
        <w:r w:rsidRPr="00BF594A">
          <w:rPr>
            <w:rFonts w:asciiTheme="minorHAnsi" w:hAnsiTheme="minorHAnsi" w:cstheme="minorHAnsi"/>
            <w:noProof/>
            <w:sz w:val="16"/>
            <w:szCs w:val="16"/>
          </w:rPr>
          <w:fldChar w:fldCharType="end"/>
        </w:r>
        <w:r>
          <w:rPr>
            <w:rFonts w:ascii="TitilliumText22L Xb" w:hAnsi="TitilliumText22L Xb"/>
          </w:rPr>
          <w:tab/>
        </w:r>
        <w:r>
          <w:rPr>
            <w:rFonts w:ascii="TitilliumText22L Xb" w:hAnsi="TitilliumText22L Xb"/>
          </w:rPr>
          <w:tab/>
        </w:r>
        <w:r w:rsidRPr="00C566BC">
          <w:rPr>
            <w:rFonts w:asciiTheme="minorHAnsi" w:hAnsiTheme="minorHAnsi" w:cstheme="minorHAnsi"/>
            <w:color w:val="808080" w:themeColor="background1" w:themeShade="80"/>
          </w:rPr>
          <w:fldChar w:fldCharType="begin"/>
        </w:r>
        <w:r w:rsidRPr="00C566BC">
          <w:rPr>
            <w:rFonts w:asciiTheme="minorHAnsi" w:hAnsiTheme="minorHAnsi" w:cstheme="minorHAnsi"/>
            <w:color w:val="808080" w:themeColor="background1" w:themeShade="80"/>
          </w:rPr>
          <w:instrText xml:space="preserve"> PAGE   \* MERGEFORMAT </w:instrText>
        </w:r>
        <w:r w:rsidRPr="00C566BC">
          <w:rPr>
            <w:rFonts w:asciiTheme="minorHAnsi" w:hAnsiTheme="minorHAnsi" w:cstheme="minorHAnsi"/>
            <w:color w:val="808080" w:themeColor="background1" w:themeShade="80"/>
          </w:rPr>
          <w:fldChar w:fldCharType="separate"/>
        </w:r>
        <w:r w:rsidR="00D90487">
          <w:rPr>
            <w:rFonts w:asciiTheme="minorHAnsi" w:hAnsiTheme="minorHAnsi" w:cstheme="minorHAnsi"/>
            <w:noProof/>
            <w:color w:val="808080" w:themeColor="background1" w:themeShade="80"/>
          </w:rPr>
          <w:t>24</w:t>
        </w:r>
        <w:r w:rsidRPr="00C566BC">
          <w:rPr>
            <w:rFonts w:asciiTheme="minorHAnsi" w:hAnsiTheme="minorHAnsi" w:cstheme="minorHAnsi"/>
            <w:color w:val="808080" w:themeColor="background1" w:themeShade="80"/>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tilliumText22L Xb" w:hAnsi="TitilliumText22L Xb"/>
      </w:rPr>
      <w:id w:val="1441184265"/>
      <w:docPartObj>
        <w:docPartGallery w:val="Page Numbers (Bottom of Page)"/>
        <w:docPartUnique/>
      </w:docPartObj>
    </w:sdtPr>
    <w:sdtEndPr/>
    <w:sdtContent>
      <w:p w:rsidR="0002323C" w:rsidRPr="0036226B" w:rsidRDefault="0002323C" w:rsidP="00DF6AAD">
        <w:pPr>
          <w:pStyle w:val="Footer"/>
          <w:tabs>
            <w:tab w:val="clear" w:pos="4320"/>
            <w:tab w:val="clear" w:pos="8640"/>
            <w:tab w:val="center" w:pos="4680"/>
            <w:tab w:val="left" w:pos="9000"/>
            <w:tab w:val="right" w:pos="12780"/>
          </w:tabs>
          <w:rPr>
            <w:rFonts w:ascii="TitilliumText22L Xb" w:hAnsi="TitilliumText22L Xb"/>
          </w:rPr>
        </w:pPr>
        <w:r w:rsidRPr="00C566BC">
          <w:rPr>
            <w:rFonts w:asciiTheme="minorHAnsi" w:hAnsiTheme="minorHAnsi" w:cstheme="minorHAnsi"/>
            <w:noProof/>
            <w:color w:val="808080" w:themeColor="background1" w:themeShade="80"/>
          </w:rPr>
          <w:drawing>
            <wp:anchor distT="0" distB="0" distL="114300" distR="114300" simplePos="0" relativeHeight="251670016" behindDoc="0" locked="0" layoutInCell="1" allowOverlap="1" wp14:anchorId="07EDA730" wp14:editId="433396BB">
              <wp:simplePos x="0" y="0"/>
              <wp:positionH relativeFrom="column">
                <wp:posOffset>-6350</wp:posOffset>
              </wp:positionH>
              <wp:positionV relativeFrom="paragraph">
                <wp:posOffset>43815</wp:posOffset>
              </wp:positionV>
              <wp:extent cx="692150" cy="127000"/>
              <wp:effectExtent l="19050" t="0" r="0" b="0"/>
              <wp:wrapNone/>
              <wp:docPr id="32" name="Picture 2" descr="nexant_rev (blue 3-4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ant_rev (blue 3-4in)"/>
                      <pic:cNvPicPr>
                        <a:picLocks noChangeAspect="1" noChangeArrowheads="1"/>
                      </pic:cNvPicPr>
                    </pic:nvPicPr>
                    <pic:blipFill>
                      <a:blip r:embed="rId1" cstate="screen"/>
                      <a:srcRect/>
                      <a:stretch>
                        <a:fillRect/>
                      </a:stretch>
                    </pic:blipFill>
                    <pic:spPr bwMode="auto">
                      <a:xfrm>
                        <a:off x="0" y="0"/>
                        <a:ext cx="692150" cy="127000"/>
                      </a:xfrm>
                      <a:prstGeom prst="rect">
                        <a:avLst/>
                      </a:prstGeom>
                      <a:noFill/>
                      <a:ln w="9525">
                        <a:noFill/>
                        <a:miter lim="800000"/>
                        <a:headEnd/>
                        <a:tailEnd/>
                      </a:ln>
                    </pic:spPr>
                  </pic:pic>
                </a:graphicData>
              </a:graphic>
            </wp:anchor>
          </w:drawing>
        </w:r>
        <w:r>
          <w:rPr>
            <w:rFonts w:ascii="TitilliumText22L Xb" w:hAnsi="TitilliumText22L Xb"/>
          </w:rPr>
          <w:tab/>
        </w:r>
        <w:r w:rsidRPr="00BF594A">
          <w:rPr>
            <w:rFonts w:asciiTheme="minorHAnsi" w:hAnsiTheme="minorHAnsi" w:cstheme="minorHAnsi"/>
            <w:sz w:val="16"/>
            <w:szCs w:val="16"/>
          </w:rPr>
          <w:fldChar w:fldCharType="begin"/>
        </w:r>
        <w:r w:rsidRPr="00BF594A">
          <w:rPr>
            <w:rFonts w:asciiTheme="minorHAnsi" w:hAnsiTheme="minorHAnsi" w:cstheme="minorHAnsi"/>
            <w:sz w:val="16"/>
            <w:szCs w:val="16"/>
          </w:rPr>
          <w:instrText xml:space="preserve"> STYLEREF  "Proposal Title"  \* MERGEFORMAT </w:instrText>
        </w:r>
        <w:r w:rsidRPr="00BF594A">
          <w:rPr>
            <w:rFonts w:asciiTheme="minorHAnsi" w:hAnsiTheme="minorHAnsi" w:cstheme="minorHAnsi"/>
            <w:noProof/>
            <w:sz w:val="16"/>
            <w:szCs w:val="16"/>
          </w:rPr>
          <w:fldChar w:fldCharType="end"/>
        </w:r>
        <w:r>
          <w:rPr>
            <w:rFonts w:ascii="TitilliumText22L Xb" w:hAnsi="TitilliumText22L Xb"/>
          </w:rPr>
          <w:tab/>
        </w:r>
        <w:r w:rsidRPr="00C566BC">
          <w:rPr>
            <w:rFonts w:asciiTheme="minorHAnsi" w:hAnsiTheme="minorHAnsi" w:cstheme="minorHAnsi"/>
            <w:color w:val="808080" w:themeColor="background1" w:themeShade="80"/>
          </w:rPr>
          <w:fldChar w:fldCharType="begin"/>
        </w:r>
        <w:r w:rsidRPr="00C566BC">
          <w:rPr>
            <w:rFonts w:asciiTheme="minorHAnsi" w:hAnsiTheme="minorHAnsi" w:cstheme="minorHAnsi"/>
            <w:color w:val="808080" w:themeColor="background1" w:themeShade="80"/>
          </w:rPr>
          <w:instrText xml:space="preserve"> PAGE   \* MERGEFORMAT </w:instrText>
        </w:r>
        <w:r w:rsidRPr="00C566BC">
          <w:rPr>
            <w:rFonts w:asciiTheme="minorHAnsi" w:hAnsiTheme="minorHAnsi" w:cstheme="minorHAnsi"/>
            <w:color w:val="808080" w:themeColor="background1" w:themeShade="80"/>
          </w:rPr>
          <w:fldChar w:fldCharType="separate"/>
        </w:r>
        <w:r w:rsidR="00D90487">
          <w:rPr>
            <w:rFonts w:asciiTheme="minorHAnsi" w:hAnsiTheme="minorHAnsi" w:cstheme="minorHAnsi"/>
            <w:noProof/>
            <w:color w:val="808080" w:themeColor="background1" w:themeShade="80"/>
          </w:rPr>
          <w:t>25</w:t>
        </w:r>
        <w:r w:rsidRPr="00C566BC">
          <w:rPr>
            <w:rFonts w:asciiTheme="minorHAnsi" w:hAnsiTheme="minorHAnsi" w:cstheme="minorHAnsi"/>
            <w:color w:val="808080" w:themeColor="background1" w:themeShade="80"/>
          </w:rP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tilliumText22L Xb" w:hAnsi="TitilliumText22L Xb"/>
      </w:rPr>
      <w:id w:val="-963804474"/>
      <w:docPartObj>
        <w:docPartGallery w:val="Page Numbers (Bottom of Page)"/>
        <w:docPartUnique/>
      </w:docPartObj>
    </w:sdtPr>
    <w:sdtEndPr/>
    <w:sdtContent>
      <w:p w:rsidR="0002323C" w:rsidRPr="0036226B" w:rsidRDefault="0002323C" w:rsidP="00512341">
        <w:pPr>
          <w:pStyle w:val="Footer"/>
          <w:tabs>
            <w:tab w:val="clear" w:pos="4320"/>
            <w:tab w:val="clear" w:pos="8640"/>
            <w:tab w:val="center" w:pos="4680"/>
            <w:tab w:val="right" w:pos="12780"/>
          </w:tabs>
          <w:rPr>
            <w:rFonts w:ascii="TitilliumText22L Xb" w:hAnsi="TitilliumText22L Xb"/>
          </w:rPr>
        </w:pPr>
        <w:r w:rsidRPr="00C566BC">
          <w:rPr>
            <w:rFonts w:asciiTheme="minorHAnsi" w:hAnsiTheme="minorHAnsi" w:cstheme="minorHAnsi"/>
            <w:noProof/>
            <w:color w:val="808080" w:themeColor="background1" w:themeShade="80"/>
          </w:rPr>
          <w:drawing>
            <wp:anchor distT="0" distB="0" distL="114300" distR="114300" simplePos="0" relativeHeight="251676160" behindDoc="0" locked="0" layoutInCell="1" allowOverlap="1" wp14:anchorId="7A5A39F8" wp14:editId="726EEB82">
              <wp:simplePos x="0" y="0"/>
              <wp:positionH relativeFrom="column">
                <wp:posOffset>-6350</wp:posOffset>
              </wp:positionH>
              <wp:positionV relativeFrom="paragraph">
                <wp:posOffset>43815</wp:posOffset>
              </wp:positionV>
              <wp:extent cx="692150" cy="127000"/>
              <wp:effectExtent l="19050" t="0" r="0" b="0"/>
              <wp:wrapNone/>
              <wp:docPr id="7" name="Picture 2" descr="nexant_rev (blue 3-4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ant_rev (blue 3-4in)"/>
                      <pic:cNvPicPr>
                        <a:picLocks noChangeAspect="1" noChangeArrowheads="1"/>
                      </pic:cNvPicPr>
                    </pic:nvPicPr>
                    <pic:blipFill>
                      <a:blip r:embed="rId1" cstate="screen"/>
                      <a:srcRect/>
                      <a:stretch>
                        <a:fillRect/>
                      </a:stretch>
                    </pic:blipFill>
                    <pic:spPr bwMode="auto">
                      <a:xfrm>
                        <a:off x="0" y="0"/>
                        <a:ext cx="692150" cy="127000"/>
                      </a:xfrm>
                      <a:prstGeom prst="rect">
                        <a:avLst/>
                      </a:prstGeom>
                      <a:noFill/>
                      <a:ln w="9525">
                        <a:noFill/>
                        <a:miter lim="800000"/>
                        <a:headEnd/>
                        <a:tailEnd/>
                      </a:ln>
                    </pic:spPr>
                  </pic:pic>
                </a:graphicData>
              </a:graphic>
            </wp:anchor>
          </w:drawing>
        </w:r>
        <w:r>
          <w:rPr>
            <w:rFonts w:ascii="TitilliumText22L Xb" w:hAnsi="TitilliumText22L Xb"/>
          </w:rPr>
          <w:tab/>
        </w:r>
        <w:r w:rsidRPr="00BF594A">
          <w:rPr>
            <w:rFonts w:asciiTheme="minorHAnsi" w:hAnsiTheme="minorHAnsi" w:cstheme="minorHAnsi"/>
            <w:sz w:val="16"/>
            <w:szCs w:val="16"/>
          </w:rPr>
          <w:fldChar w:fldCharType="begin"/>
        </w:r>
        <w:r w:rsidRPr="00BF594A">
          <w:rPr>
            <w:rFonts w:asciiTheme="minorHAnsi" w:hAnsiTheme="minorHAnsi" w:cstheme="minorHAnsi"/>
            <w:sz w:val="16"/>
            <w:szCs w:val="16"/>
          </w:rPr>
          <w:instrText xml:space="preserve"> STYLEREF  "Proposal Title"  \* MERGEFORMAT </w:instrText>
        </w:r>
        <w:r w:rsidRPr="00BF594A">
          <w:rPr>
            <w:rFonts w:asciiTheme="minorHAnsi" w:hAnsiTheme="minorHAnsi" w:cstheme="minorHAnsi"/>
            <w:noProof/>
            <w:sz w:val="16"/>
            <w:szCs w:val="16"/>
          </w:rPr>
          <w:fldChar w:fldCharType="end"/>
        </w:r>
        <w:r>
          <w:rPr>
            <w:rFonts w:ascii="TitilliumText22L Xb" w:hAnsi="TitilliumText22L Xb"/>
          </w:rPr>
          <w:tab/>
        </w:r>
        <w:r w:rsidRPr="00C566BC">
          <w:rPr>
            <w:rFonts w:asciiTheme="minorHAnsi" w:hAnsiTheme="minorHAnsi" w:cstheme="minorHAnsi"/>
            <w:color w:val="808080" w:themeColor="background1" w:themeShade="80"/>
          </w:rPr>
          <w:fldChar w:fldCharType="begin"/>
        </w:r>
        <w:r w:rsidRPr="00C566BC">
          <w:rPr>
            <w:rFonts w:asciiTheme="minorHAnsi" w:hAnsiTheme="minorHAnsi" w:cstheme="minorHAnsi"/>
            <w:color w:val="808080" w:themeColor="background1" w:themeShade="80"/>
          </w:rPr>
          <w:instrText xml:space="preserve"> PAGE   \* MERGEFORMAT </w:instrText>
        </w:r>
        <w:r w:rsidRPr="00C566BC">
          <w:rPr>
            <w:rFonts w:asciiTheme="minorHAnsi" w:hAnsiTheme="minorHAnsi" w:cstheme="minorHAnsi"/>
            <w:color w:val="808080" w:themeColor="background1" w:themeShade="80"/>
          </w:rPr>
          <w:fldChar w:fldCharType="separate"/>
        </w:r>
        <w:r w:rsidR="00D90487">
          <w:rPr>
            <w:rFonts w:asciiTheme="minorHAnsi" w:hAnsiTheme="minorHAnsi" w:cstheme="minorHAnsi"/>
            <w:noProof/>
            <w:color w:val="808080" w:themeColor="background1" w:themeShade="80"/>
          </w:rPr>
          <w:t>29</w:t>
        </w:r>
        <w:r w:rsidRPr="00C566BC">
          <w:rPr>
            <w:rFonts w:asciiTheme="minorHAnsi" w:hAnsiTheme="minorHAnsi" w:cstheme="minorHAnsi"/>
            <w:color w:val="808080" w:themeColor="background1" w:themeShade="8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29B8" w:rsidRDefault="002529B8" w:rsidP="00DB35F9">
      <w:pPr>
        <w:spacing w:after="0" w:line="240" w:lineRule="auto"/>
      </w:pPr>
      <w:r>
        <w:separator/>
      </w:r>
    </w:p>
  </w:footnote>
  <w:footnote w:type="continuationSeparator" w:id="0">
    <w:p w:rsidR="002529B8" w:rsidRDefault="002529B8" w:rsidP="00DB35F9">
      <w:pPr>
        <w:spacing w:after="0" w:line="240" w:lineRule="auto"/>
      </w:pPr>
      <w:r>
        <w:continuationSeparator/>
      </w:r>
    </w:p>
  </w:footnote>
  <w:footnote w:id="1">
    <w:p w:rsidR="0002323C" w:rsidRDefault="0002323C" w:rsidP="009A16B1">
      <w:pPr>
        <w:pStyle w:val="FootnoteText"/>
      </w:pPr>
      <w:r>
        <w:rPr>
          <w:rStyle w:val="FootnoteReference"/>
        </w:rPr>
        <w:footnoteRef/>
      </w:r>
      <w:r>
        <w:t xml:space="preserve"> </w:t>
      </w:r>
      <w:r w:rsidRPr="004A099B">
        <w:rPr>
          <w:szCs w:val="18"/>
        </w:rPr>
        <w:t xml:space="preserve">CPUC </w:t>
      </w:r>
      <w:r>
        <w:rPr>
          <w:szCs w:val="18"/>
        </w:rPr>
        <w:t xml:space="preserve">Resolution </w:t>
      </w:r>
      <w:r w:rsidRPr="004A099B">
        <w:rPr>
          <w:szCs w:val="18"/>
        </w:rPr>
        <w:t>E-45</w:t>
      </w:r>
      <w:r>
        <w:rPr>
          <w:szCs w:val="18"/>
        </w:rPr>
        <w:t>86 issued on May 9, 2013.</w:t>
      </w:r>
    </w:p>
  </w:footnote>
  <w:footnote w:id="2">
    <w:p w:rsidR="00114004" w:rsidRDefault="00114004" w:rsidP="00114004">
      <w:pPr>
        <w:pStyle w:val="FootnoteText"/>
      </w:pPr>
      <w:r>
        <w:rPr>
          <w:rStyle w:val="FootnoteReference"/>
        </w:rPr>
        <w:footnoteRef/>
      </w:r>
      <w:r>
        <w:t xml:space="preserve"> Direct access and Community Choice Aggregation customers are also eligible.</w:t>
      </w:r>
    </w:p>
  </w:footnote>
  <w:footnote w:id="3">
    <w:p w:rsidR="0002323C" w:rsidRPr="00665A55" w:rsidRDefault="0002323C" w:rsidP="009A16B1">
      <w:pPr>
        <w:pStyle w:val="Footnote"/>
      </w:pPr>
      <w:r w:rsidRPr="00665A55">
        <w:rPr>
          <w:rStyle w:val="FootnoteReference"/>
        </w:rPr>
        <w:footnoteRef/>
      </w:r>
      <w:r w:rsidRPr="00665A55">
        <w:t xml:space="preserve"> </w:t>
      </w:r>
      <w:r w:rsidRPr="00665A55">
        <w:rPr>
          <w:szCs w:val="18"/>
        </w:rPr>
        <w:t>CPUC D.08-04-050 issued on April 28, 2008 with Attachment A.</w:t>
      </w:r>
    </w:p>
  </w:footnote>
  <w:footnote w:id="4">
    <w:p w:rsidR="00956D00" w:rsidRDefault="00956D00" w:rsidP="00956D00">
      <w:pPr>
        <w:pStyle w:val="FootnoteText"/>
      </w:pPr>
      <w:r>
        <w:rPr>
          <w:rStyle w:val="FootnoteReference"/>
        </w:rPr>
        <w:footnoteRef/>
      </w:r>
      <w:r>
        <w:t xml:space="preserve"> 2012 – 2014 Statewide Permanent Load Shifting Program Proposal.  </w:t>
      </w:r>
      <w:r w:rsidRPr="00E466F5">
        <w:t>July 30, 2012</w:t>
      </w:r>
      <w:r>
        <w:t>.  Jointly proposed by: Pacific Gas and Electric, San Diego Gas &amp; Electric and Southern California Edison Company.</w:t>
      </w:r>
    </w:p>
  </w:footnote>
  <w:footnote w:id="5">
    <w:p w:rsidR="0002323C" w:rsidRDefault="0002323C" w:rsidP="004D5A32">
      <w:pPr>
        <w:pStyle w:val="FootnoteText"/>
      </w:pPr>
      <w:r>
        <w:rPr>
          <w:rStyle w:val="FootnoteReference"/>
        </w:rPr>
        <w:footnoteRef/>
      </w:r>
      <w:r>
        <w:t xml:space="preserve"> Note that these “expected values” are not expected values in a statistical sense.  They are literally just what utility staff expressed as reasonable expectations.  The uncertainty expressed in the high and low values are also just opinions, not statistical measurements.</w:t>
      </w:r>
    </w:p>
  </w:footnote>
  <w:footnote w:id="6">
    <w:p w:rsidR="0002323C" w:rsidRDefault="0002323C">
      <w:pPr>
        <w:pStyle w:val="FootnoteText"/>
      </w:pPr>
      <w:r>
        <w:rPr>
          <w:rStyle w:val="FootnoteReference"/>
        </w:rPr>
        <w:footnoteRef/>
      </w:r>
      <w:r>
        <w:t xml:space="preserve"> LCA is the CAISO-defined term that represents each transmission constrained load pocket in the California IOU service territories.</w:t>
      </w:r>
    </w:p>
  </w:footnote>
  <w:footnote w:id="7">
    <w:p w:rsidR="0002323C" w:rsidRDefault="0002323C">
      <w:pPr>
        <w:pStyle w:val="FootnoteText"/>
      </w:pPr>
      <w:r>
        <w:rPr>
          <w:rStyle w:val="FootnoteReference"/>
        </w:rPr>
        <w:footnoteRef/>
      </w:r>
      <w:r>
        <w:t xml:space="preserve"> SDG&amp;E has opted to include bridge funding for 2015-2016 in the scope of this evaluation and forecast, whereas PG&amp;E and SCE have decided to not forecast projects after 2014, due to uncertainty regarding the bridge funding.</w:t>
      </w:r>
    </w:p>
  </w:footnote>
  <w:footnote w:id="8">
    <w:p w:rsidR="0002323C" w:rsidRDefault="0002323C">
      <w:pPr>
        <w:pStyle w:val="FootnoteText"/>
      </w:pPr>
      <w:r>
        <w:rPr>
          <w:rStyle w:val="FootnoteReference"/>
        </w:rPr>
        <w:footnoteRef/>
      </w:r>
      <w:r>
        <w:t xml:space="preserve"> The percent budget commitment does</w:t>
      </w:r>
      <w:r w:rsidRPr="00BF594A">
        <w:t xml:space="preserve"> not necessarily refle</w:t>
      </w:r>
      <w:r>
        <w:t>ct the amount that will ultimately</w:t>
      </w:r>
      <w:r w:rsidRPr="00BF594A">
        <w:t xml:space="preserve"> be spent, since some projects may drop from the PLS</w:t>
      </w:r>
      <w:r>
        <w:t> </w:t>
      </w:r>
      <w:r w:rsidRPr="00BF594A">
        <w:t xml:space="preserve">program prior to installation (for instance, if the feasibility study indicates that the project would </w:t>
      </w:r>
      <w:r>
        <w:t>not be cost-effective</w:t>
      </w:r>
      <w:r w:rsidRPr="00BF594A">
        <w:t xml:space="preserve"> for the customer).  To account for this, </w:t>
      </w:r>
      <w:r>
        <w:t>the forecast assumes a 10% drop off rate between projects committed and projects actually installed.</w:t>
      </w:r>
      <w:r w:rsidRPr="00BF594A">
        <w:t xml:space="preserve"> </w:t>
      </w:r>
      <w:r>
        <w:t xml:space="preserve"> This drop off</w:t>
      </w:r>
      <w:r w:rsidRPr="00BF594A">
        <w:t xml:space="preserve"> rate was assumed to be the same probability for each project size and LCA within each IOU.</w:t>
      </w:r>
    </w:p>
  </w:footnote>
  <w:footnote w:id="9">
    <w:p w:rsidR="0002323C" w:rsidRDefault="0002323C">
      <w:pPr>
        <w:pStyle w:val="FootnoteText"/>
      </w:pPr>
      <w:r>
        <w:rPr>
          <w:rStyle w:val="FootnoteReference"/>
        </w:rPr>
        <w:footnoteRef/>
      </w:r>
      <w:r>
        <w:t xml:space="preserve"> This peak load shift value is the amount of demand shifting that each utility expects to pay incentives for.  This means that these are expected output from the model used in the engineering feasibility study for each site.  Although we do not know with certainty what conditions the engineers performing the study will use to represent peak yearly conditions, based on discussions with PLS program managers and knowledgeable staff, we expect the engineers to use ASHRAE 2% weather conditions for the relevant geography of each site.</w:t>
      </w:r>
    </w:p>
  </w:footnote>
  <w:footnote w:id="10">
    <w:p w:rsidR="0002323C" w:rsidRDefault="0002323C">
      <w:pPr>
        <w:pStyle w:val="FootnoteText"/>
      </w:pPr>
      <w:r>
        <w:rPr>
          <w:rStyle w:val="FootnoteReference"/>
        </w:rPr>
        <w:footnoteRef/>
      </w:r>
      <w:r>
        <w:t xml:space="preserve"> These conditions are available in the ASHRAE Handbook - ASHRAE® Handbook Online: 2009 Fundamentals.</w:t>
      </w:r>
    </w:p>
  </w:footnote>
  <w:footnote w:id="11">
    <w:p w:rsidR="0002323C" w:rsidRDefault="0002323C" w:rsidP="006B6F52">
      <w:pPr>
        <w:pStyle w:val="FootnoteText"/>
      </w:pPr>
      <w:r>
        <w:rPr>
          <w:rStyle w:val="FootnoteReference"/>
        </w:rPr>
        <w:footnoteRef/>
      </w:r>
      <w:r>
        <w:t xml:space="preserve"> </w:t>
      </w:r>
      <w:proofErr w:type="spellStart"/>
      <w:r>
        <w:t>eQUEST</w:t>
      </w:r>
      <w:proofErr w:type="spellEnd"/>
      <w:r>
        <w:t>, &lt;</w:t>
      </w:r>
      <w:hyperlink r:id="rId1" w:history="1">
        <w:r>
          <w:rPr>
            <w:rStyle w:val="Hyperlink"/>
          </w:rPr>
          <w:t>http://www.doe2.com/equest/</w:t>
        </w:r>
      </w:hyperlink>
      <w:r>
        <w:t>&gt;</w:t>
      </w:r>
    </w:p>
  </w:footnote>
  <w:footnote w:id="12">
    <w:p w:rsidR="0002323C" w:rsidRDefault="0002323C" w:rsidP="00E5325F">
      <w:pPr>
        <w:pStyle w:val="FootnoteText"/>
      </w:pPr>
      <w:r>
        <w:rPr>
          <w:rStyle w:val="FootnoteReference"/>
        </w:rPr>
        <w:footnoteRef/>
      </w:r>
      <w:r>
        <w:t xml:space="preserve"> </w:t>
      </w:r>
      <w:r w:rsidRPr="00E5325F">
        <w:t>The cost-effectiveness analysis filed along with the Statewide PLS program proposal (</w:t>
      </w:r>
      <w:r>
        <w:t>D.12-04-045 and Resolution E-4586</w:t>
      </w:r>
      <w:r w:rsidRPr="00E5325F">
        <w:t xml:space="preserve">) assumed </w:t>
      </w:r>
      <w:r>
        <w:t xml:space="preserve">that </w:t>
      </w:r>
      <w:r w:rsidRPr="00E5325F">
        <w:t>the total incentive bud</w:t>
      </w:r>
      <w:r>
        <w:t xml:space="preserve">get would be spent by end of </w:t>
      </w:r>
      <w:r w:rsidRPr="00E5325F">
        <w:t xml:space="preserve">2014. </w:t>
      </w:r>
      <w:r>
        <w:t xml:space="preserve"> The assumptions made in this</w:t>
      </w:r>
      <w:r w:rsidRPr="00E5325F">
        <w:t xml:space="preserve"> evaluation differ significantly from that scenario, and are based on the </w:t>
      </w:r>
      <w:r>
        <w:t>best available information</w:t>
      </w:r>
      <w:r w:rsidRPr="00E5325F">
        <w:t xml:space="preserve"> at this time.</w:t>
      </w:r>
    </w:p>
  </w:footnote>
  <w:footnote w:id="13">
    <w:p w:rsidR="0002323C" w:rsidRDefault="0002323C">
      <w:pPr>
        <w:pStyle w:val="FootnoteText"/>
      </w:pPr>
      <w:r>
        <w:rPr>
          <w:rStyle w:val="FootnoteReference"/>
        </w:rPr>
        <w:footnoteRef/>
      </w:r>
      <w:r>
        <w:t xml:space="preserve"> D</w:t>
      </w:r>
      <w:r w:rsidRPr="00525279">
        <w:t>ue to the confidentiality concerns descri</w:t>
      </w:r>
      <w:r>
        <w:t>bed in Section 1, these load impact tables are not available publicly.</w:t>
      </w:r>
    </w:p>
  </w:footnote>
  <w:footnote w:id="14">
    <w:p w:rsidR="0002323C" w:rsidRDefault="0002323C" w:rsidP="001411FB">
      <w:pPr>
        <w:pStyle w:val="FootnoteText"/>
      </w:pPr>
      <w:r>
        <w:rPr>
          <w:rStyle w:val="FootnoteReference"/>
        </w:rPr>
        <w:footnoteRef/>
      </w:r>
      <w:r>
        <w:t xml:space="preserve"> The actual assumed trajectory is for a constant amount of absolute shifting capacity loss each year after the fifth year, such that the expected total life is 20 years and the maximum total life is 35 years.  If the program becomes a major part of the energy savings portfolio, then more nuanced assumptions for shift capacity degradation will be in order.</w:t>
      </w:r>
    </w:p>
  </w:footnote>
  <w:footnote w:id="15">
    <w:p w:rsidR="0002323C" w:rsidRDefault="0002323C" w:rsidP="009A3834">
      <w:pPr>
        <w:pStyle w:val="FootnoteText"/>
      </w:pPr>
      <w:r>
        <w:rPr>
          <w:rStyle w:val="FootnoteReference"/>
        </w:rPr>
        <w:footnoteRef/>
      </w:r>
      <w:r>
        <w:t xml:space="preserve"> Because ASHRAE does not specify 24-hours of temperatures, Nexant took the ASHRAE entry as the average temperature from 1–6 PM on the peak day.  The hourly temperatures were then calculated as the ratio of ASHRAE 2% temperature to August 1-in-10 average temperature from 1–6 PM times each hour’s August 1-in-10 temperature.  For example, if the ASHRAE 2% condition was a temperature of 100°F and the August 1-in-10 conditions had an average temperature from </w:t>
      </w:r>
      <w:r>
        <w:br/>
        <w:t>1–6 PM of 102°F, then the ASHRAE 2% conditions inputted into the DRQAT would have temperatures equal to the August 1-in-10 conditions multiplied by 100/102 for each hour.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323C" w:rsidRDefault="0002323C">
    <w:pPr>
      <w:pStyle w:val="Header"/>
    </w:pPr>
    <w:r>
      <w:rPr>
        <w:noProof/>
      </w:rPr>
      <mc:AlternateContent>
        <mc:Choice Requires="wps">
          <w:drawing>
            <wp:inline distT="0" distB="0" distL="0" distR="0">
              <wp:extent cx="6017895" cy="0"/>
              <wp:effectExtent l="9525" t="9525" r="11430" b="9525"/>
              <wp:docPr id="15"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7895"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2" o:spid="_x0000_s1026"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mIOAIAAHYEAAAOAAAAZHJzL2Uyb0RvYy54bWysVMGO2yAQvVfqPyDfE9upk02sOKuVnfSy&#10;7Uba7QcQwDEqBgQkTlT13ztgx9q0l6rqBQ/DzJs3w8Prx0sr0JkZy5UsonSaRIhJoiiXxyL69rab&#10;LCNkHZYUCyVZEV2ZjR43Hz+sO52zmWqUoMwgAJE273QRNc7pPI4taViL7VRpJuGwVqbFDrbmGFOD&#10;O0BvRTxLkkXcKUO1UYRZC96qP4w2Ab+uGXEvdW2ZQ6KIgJsLqwnrwa/xZo3zo8G64WSggf+BRYu5&#10;hKIjVIUdRifD/4BqOTHKqtpNiWpjVdecsNADdJMmv3Xz2mDNQi8wHKvHMdn/B0u+nvcGcQp3N4+Q&#10;xC3c0dPJqVAazfx8Om1zCCvl3vgOyUW+6mdFvlskVdlgeWQh+O2qITf1GfFdit9YDVUO3RdFIQYD&#10;fhjWpTath4QxoEu4k+t4J+ziEAHnIkkflivgRm5nMc5vidpY95mpFnmjiKwzmB8bVyop4eaVSUMZ&#10;fH62ztPC+S3BV5Vqx4UIAhASdUW0ms/mIcEqwak/9GFBiqwUBp0xiAgTwqTLQpw4tdBR73+YJ8kg&#10;J3CD6Hp3cEHhESXQuCtg1EnSQKNhmG4H22EuehuyhfRMYCTQyGD16vqxSlbb5XaZTbLZYjvJkqqa&#10;PO3KbLLYpQ/z6lNVllX605NNs7zhlDLp+7opPc3+TknDm+s1Omp9HGB8jx5aBLK3byAdNOFl0Avq&#10;oOh1b25aAXGH4OEh+tfzfg/2+9/F5hcAAAD//wMAUEsDBBQABgAIAAAAIQCEiV231gAAAAIBAAAP&#10;AAAAZHJzL2Rvd25yZXYueG1sTI9BS8NAEIXvgv9hGcGb3VjE2phNKUIvKoitP2CaHZO0mdmQ3bbx&#10;3zv1Yi8PHm9475tiMXJnjjTENoiD+0kGhqQKvpXawddmdfcEJiYUj10QcvBDERbl9VWBuQ8n+aTj&#10;OtVGSyTm6KBJqc+tjVVDjHESehLNvsPAmNQOtfUDnrScOzvNskfL2IouNNjTS0PVfn1gB2HpN7x6&#10;9e9T/qAK33YemefO3d6My2cwicb0fwxnfEWHUpm24SA+ms6BPpL+VLP5w2wGZnu2tizsJXr5CwAA&#10;//8DAFBLAQItABQABgAIAAAAIQC2gziS/gAAAOEBAAATAAAAAAAAAAAAAAAAAAAAAABbQ29udGVu&#10;dF9UeXBlc10ueG1sUEsBAi0AFAAGAAgAAAAhADj9If/WAAAAlAEAAAsAAAAAAAAAAAAAAAAALwEA&#10;AF9yZWxzLy5yZWxzUEsBAi0AFAAGAAgAAAAhAD7MiYg4AgAAdgQAAA4AAAAAAAAAAAAAAAAALgIA&#10;AGRycy9lMm9Eb2MueG1sUEsBAi0AFAAGAAgAAAAhAISJXbfWAAAAAgEAAA8AAAAAAAAAAAAAAAAA&#10;kgQAAGRycy9kb3ducmV2LnhtbFBLBQYAAAAABAAEAPMAAACVBQAAAAA=&#10;" strokecolor="#5f497a [2407]">
              <w10:anchorlock/>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323C" w:rsidRDefault="0002323C" w:rsidP="00DB35F9">
    <w:pPr>
      <w:pStyle w:val="Header"/>
      <w:tabs>
        <w:tab w:val="left" w:pos="360"/>
        <w:tab w:val="left" w:pos="8910"/>
        <w:tab w:val="left" w:pos="9000"/>
      </w:tabs>
    </w:pPr>
    <w:r w:rsidRPr="00EB2941">
      <w:rPr>
        <w:noProof/>
      </w:rPr>
      <w:drawing>
        <wp:inline distT="0" distB="0" distL="0" distR="0">
          <wp:extent cx="4274185" cy="690880"/>
          <wp:effectExtent l="19050" t="0" r="0" b="0"/>
          <wp:docPr id="8" name="Picture 1"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C Logo NEW PURPLE 2007"/>
                  <pic:cNvPicPr>
                    <a:picLocks noChangeAspect="1" noChangeArrowheads="1"/>
                  </pic:cNvPicPr>
                </pic:nvPicPr>
                <pic:blipFill>
                  <a:blip r:embed="rId1" cstate="print"/>
                  <a:srcRect t="21506"/>
                  <a:stretch>
                    <a:fillRect/>
                  </a:stretch>
                </pic:blipFill>
                <pic:spPr bwMode="auto">
                  <a:xfrm>
                    <a:off x="0" y="0"/>
                    <a:ext cx="4274185" cy="690880"/>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323C" w:rsidRDefault="0002323C" w:rsidP="002F58AD">
    <w:pPr>
      <w:pStyle w:val="Footnote"/>
    </w:pPr>
    <w:r w:rsidRPr="008B39F4">
      <w:rPr>
        <w:noProof/>
      </w:rPr>
      <w:drawing>
        <wp:anchor distT="0" distB="0" distL="114300" distR="114300" simplePos="0" relativeHeight="251657728" behindDoc="1" locked="0" layoutInCell="1" allowOverlap="1">
          <wp:simplePos x="0" y="0"/>
          <wp:positionH relativeFrom="column">
            <wp:posOffset>-1146810</wp:posOffset>
          </wp:positionH>
          <wp:positionV relativeFrom="paragraph">
            <wp:posOffset>-678180</wp:posOffset>
          </wp:positionV>
          <wp:extent cx="7785735" cy="9867900"/>
          <wp:effectExtent l="19050" t="0" r="5715" b="0"/>
          <wp:wrapNone/>
          <wp:docPr id="4" name="Picture 1" descr="F:\Marketing\TEMPLATES AND FORMS\CoverTemplate Graphic Files\Cover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Marketing\TEMPLATES AND FORMS\CoverTemplate Graphic Files\CoverPRINT.jpg"/>
                  <pic:cNvPicPr>
                    <a:picLocks noChangeAspect="1" noChangeArrowheads="1"/>
                  </pic:cNvPicPr>
                </pic:nvPicPr>
                <pic:blipFill>
                  <a:blip r:embed="rId1" cstate="screen"/>
                  <a:srcRect/>
                  <a:stretch>
                    <a:fillRect/>
                  </a:stretch>
                </pic:blipFill>
                <pic:spPr bwMode="auto">
                  <a:xfrm>
                    <a:off x="0" y="0"/>
                    <a:ext cx="7785735" cy="9867900"/>
                  </a:xfrm>
                  <a:prstGeom prst="rect">
                    <a:avLst/>
                  </a:prstGeom>
                  <a:noFill/>
                  <a:ln w="9525">
                    <a:noFill/>
                    <a:miter lim="800000"/>
                    <a:headEnd/>
                    <a:tailEnd/>
                  </a:ln>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323C" w:rsidRPr="00845265" w:rsidRDefault="0002323C" w:rsidP="002F58AD">
    <w:pPr>
      <w:pStyle w:val="Footnote"/>
      <w:rPr>
        <w:rFonts w:asciiTheme="minorHAnsi" w:hAnsiTheme="minorHAnsi" w:cstheme="minorHAnsi"/>
      </w:rPr>
    </w:pPr>
    <w:r>
      <w:rPr>
        <w:noProof/>
      </w:rPr>
      <mc:AlternateContent>
        <mc:Choice Requires="wps">
          <w:drawing>
            <wp:inline distT="0" distB="0" distL="0" distR="0" wp14:anchorId="16C9CC4A" wp14:editId="56AEEED3">
              <wp:extent cx="5458460" cy="0"/>
              <wp:effectExtent l="9525" t="12700" r="8890" b="6350"/>
              <wp:docPr id="1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58460" cy="0"/>
                      </a:xfrm>
                      <a:prstGeom prst="straightConnector1">
                        <a:avLst/>
                      </a:prstGeom>
                      <a:noFill/>
                      <a:ln w="9525">
                        <a:solidFill>
                          <a:srgbClr val="1F497D"/>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1" o:spid="_x0000_s1026" type="#_x0000_t32" style="width:429.8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VmoIwIAADwEAAAOAAAAZHJzL2Uyb0RvYy54bWysU9uO2yAQfa/Uf0C8J7ZTJ5tYcVYrO+nL&#10;thtptx9AANuoGBCQOFHVf+9ALm3al6rqCwbPzJnLObN8PPYSHbh1QqsSZ+MUI66oZkK1Jf7ythnN&#10;MXKeKEakVrzEJ+7w4+r9u+VgCj7RnZaMWwQgyhWDKXHnvSmSxNGO98SNteEKjI22PfHwtG3CLBkA&#10;vZfJJE1nyaAtM1ZT7hz8rc9GvIr4TcOpf2kaxz2SJYbafDxtPHfhTFZLUrSWmE7QSxnkH6roiVCQ&#10;9AZVE0/Q3oo/oHpBrXa68WOq+0Q3jaA89gDdZOlv3bx2xPDYCwzHmduY3P+DpZ8PW4sEA+5yjBTp&#10;gaOnvdcxNcrCfAbjCnCr1NaGDulRvZpnTb86pHTVEdXy6Px2MhAbI5K7kPBwBrLshk+agQ8B/Dis&#10;Y2P7AAljQMfIyenGCT96ROHnNJ/O8xlQR6+2hBTXQGOd/8h1j8KlxM5bItrOV1opYF7bLKYhh2fn&#10;oREIvAaErEpvhJRRAFKhocSL6WQaA5yWggVjcHO23VXSogMBCWWbfPFQh6kA2J2b1XvFIljHCVtf&#10;7p4Ieb6Dv1QBDxqDci63s0a+LdLFer6e56N8MluP8rSuR0+bKh/NNtnDtP5QV1WdfQ+lZXnRCca4&#10;CtVd9Zrlf6eHy+aclXZT7G0MyT16bBGKvX5j0ZHZQOZZFjvNTlsbphFIBolG58s6hR349R29fi79&#10;6gcAAAD//wMAUEsDBBQABgAIAAAAIQDGyGmC2QAAAAIBAAAPAAAAZHJzL2Rvd25yZXYueG1sTI9B&#10;S8NAEIXvgv9hGcGL2I1Ca4zZFAn2kINYqz9gmh2TYHY2ZDdt+u+detHLg8cb3vsmX8+uVwcaQ+fZ&#10;wN0iAUVce9txY+DzY3ObggoR2WLvmQycKMC6uLzIMbP+yO902MVGSQmHDA20MQ6Z1qFuyWFY+IFY&#10;si8/Ooxix0bbEY9S7np9nyQr7bBjWWhxoLKl+ns3OQOvdNrezA+bZem4Cvolraa3sjLm+mp+fgIV&#10;aY5/x3DGF3QohGnvJ7ZB9QbkkfirkqXLxxWo/dnqItf/0YsfAAAA//8DAFBLAQItABQABgAIAAAA&#10;IQC2gziS/gAAAOEBAAATAAAAAAAAAAAAAAAAAAAAAABbQ29udGVudF9UeXBlc10ueG1sUEsBAi0A&#10;FAAGAAgAAAAhADj9If/WAAAAlAEAAAsAAAAAAAAAAAAAAAAALwEAAF9yZWxzLy5yZWxzUEsBAi0A&#10;FAAGAAgAAAAhAPMVWagjAgAAPAQAAA4AAAAAAAAAAAAAAAAALgIAAGRycy9lMm9Eb2MueG1sUEsB&#10;Ai0AFAAGAAgAAAAhAMbIaYLZAAAAAgEAAA8AAAAAAAAAAAAAAAAAfQQAAGRycy9kb3ducmV2Lnht&#10;bFBLBQYAAAAABAAEAPMAAACDBQAAAAA=&#10;" strokecolor="#1f497d">
              <w10:anchorlock/>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323C" w:rsidRDefault="0002323C" w:rsidP="00B50663">
    <w:pPr>
      <w:pStyle w:val="Header"/>
      <w:jc w:val="center"/>
    </w:pPr>
    <w:r w:rsidRPr="00E92F4E">
      <w:rPr>
        <w:noProof/>
      </w:rPr>
      <w:drawing>
        <wp:inline distT="0" distB="0" distL="0" distR="0" wp14:anchorId="4E13024F" wp14:editId="4A4C7481">
          <wp:extent cx="2243455" cy="999490"/>
          <wp:effectExtent l="19050" t="0" r="444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2243455" cy="999490"/>
                  </a:xfrm>
                  <a:prstGeom prst="rect">
                    <a:avLst/>
                  </a:prstGeom>
                  <a:noFill/>
                  <a:ln w="9525">
                    <a:noFill/>
                    <a:miter lim="800000"/>
                    <a:headEnd/>
                    <a:tailEnd/>
                  </a:ln>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323C" w:rsidRPr="00845265" w:rsidRDefault="0002323C" w:rsidP="007933F9">
    <w:pPr>
      <w:pStyle w:val="Header"/>
      <w:rPr>
        <w:rFonts w:asciiTheme="minorHAnsi" w:hAnsiTheme="minorHAnsi" w:cstheme="minorHAnsi"/>
      </w:rPr>
    </w:pPr>
    <w:r>
      <w:rPr>
        <w:rFonts w:asciiTheme="minorHAnsi" w:hAnsiTheme="minorHAnsi" w:cstheme="minorHAnsi"/>
      </w:rPr>
      <w:fldChar w:fldCharType="begin"/>
    </w:r>
    <w:r>
      <w:rPr>
        <w:rFonts w:asciiTheme="minorHAnsi" w:hAnsiTheme="minorHAnsi" w:cstheme="minorHAnsi"/>
      </w:rPr>
      <w:instrText xml:space="preserve"> STYLEREF  "Heading 1" </w:instrText>
    </w:r>
    <w:r>
      <w:rPr>
        <w:rFonts w:asciiTheme="minorHAnsi" w:hAnsiTheme="minorHAnsi" w:cstheme="minorHAnsi"/>
      </w:rPr>
      <w:fldChar w:fldCharType="separate"/>
    </w:r>
    <w:r w:rsidR="00D90487">
      <w:rPr>
        <w:rFonts w:asciiTheme="minorHAnsi" w:hAnsiTheme="minorHAnsi" w:cstheme="minorHAnsi"/>
        <w:noProof/>
      </w:rPr>
      <w:t>Ex Ante Impact Estimates</w:t>
    </w:r>
    <w:r>
      <w:rPr>
        <w:rFonts w:asciiTheme="minorHAnsi" w:hAnsiTheme="minorHAnsi" w:cstheme="minorHAnsi"/>
      </w:rPr>
      <w:fldChar w:fldCharType="end"/>
    </w:r>
  </w:p>
  <w:p w:rsidR="0002323C" w:rsidRPr="00845265" w:rsidRDefault="0002323C" w:rsidP="002F58AD">
    <w:pPr>
      <w:pStyle w:val="Footnote"/>
      <w:rPr>
        <w:rFonts w:asciiTheme="minorHAnsi" w:hAnsiTheme="minorHAnsi" w:cstheme="minorHAnsi"/>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323C" w:rsidRPr="00845265" w:rsidRDefault="0002323C" w:rsidP="00845265">
    <w:pPr>
      <w:pStyle w:val="Header"/>
      <w:rPr>
        <w:rFonts w:asciiTheme="minorHAnsi" w:hAnsiTheme="minorHAnsi" w:cstheme="minorHAnsi"/>
      </w:rPr>
    </w:pPr>
    <w:r>
      <w:rPr>
        <w:rFonts w:asciiTheme="minorHAnsi" w:hAnsiTheme="minorHAnsi" w:cstheme="minorHAnsi"/>
      </w:rPr>
      <w:fldChar w:fldCharType="begin"/>
    </w:r>
    <w:r>
      <w:rPr>
        <w:rFonts w:asciiTheme="minorHAnsi" w:hAnsiTheme="minorHAnsi" w:cstheme="minorHAnsi"/>
      </w:rPr>
      <w:instrText xml:space="preserve"> STYLEREF  "Heading 1" </w:instrText>
    </w:r>
    <w:r>
      <w:rPr>
        <w:rFonts w:asciiTheme="minorHAnsi" w:hAnsiTheme="minorHAnsi" w:cstheme="minorHAnsi"/>
      </w:rPr>
      <w:fldChar w:fldCharType="separate"/>
    </w:r>
    <w:r w:rsidR="00D90487">
      <w:rPr>
        <w:rFonts w:asciiTheme="minorHAnsi" w:hAnsiTheme="minorHAnsi" w:cstheme="minorHAnsi"/>
        <w:noProof/>
      </w:rPr>
      <w:t>Recommendations</w:t>
    </w:r>
    <w:r>
      <w:rPr>
        <w:rFonts w:asciiTheme="minorHAnsi" w:hAnsiTheme="minorHAnsi" w:cstheme="minorHAnsi"/>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2F5674"/>
    <w:multiLevelType w:val="hybridMultilevel"/>
    <w:tmpl w:val="652A9A1E"/>
    <w:lvl w:ilvl="0" w:tplc="F5241B0E">
      <w:start w:val="6"/>
      <w:numFmt w:val="decimal"/>
      <w:pStyle w:val="NumbersLast"/>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6A593E"/>
    <w:multiLevelType w:val="hybridMultilevel"/>
    <w:tmpl w:val="3D4AC938"/>
    <w:lvl w:ilvl="0" w:tplc="1F2429D4">
      <w:start w:val="1"/>
      <w:numFmt w:val="bullet"/>
      <w:pStyle w:val="Bullets"/>
      <w:lvlText w:val=""/>
      <w:lvlJc w:val="left"/>
      <w:pPr>
        <w:tabs>
          <w:tab w:val="num" w:pos="720"/>
        </w:tabs>
        <w:ind w:left="720"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A7561E2"/>
    <w:multiLevelType w:val="hybridMultilevel"/>
    <w:tmpl w:val="6F6C1304"/>
    <w:lvl w:ilvl="0" w:tplc="FB1E35EA">
      <w:start w:val="1"/>
      <w:numFmt w:val="decimal"/>
      <w:pStyle w:val="Numbers"/>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60E263D"/>
    <w:multiLevelType w:val="multilevel"/>
    <w:tmpl w:val="D2D26F1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nsid w:val="27466AB5"/>
    <w:multiLevelType w:val="multilevel"/>
    <w:tmpl w:val="6B2CD62E"/>
    <w:styleLink w:val="NumberedSteps"/>
    <w:lvl w:ilvl="0">
      <w:start w:val="1"/>
      <w:numFmt w:val="decimal"/>
      <w:lvlText w:val="%1"/>
      <w:lvlJc w:val="left"/>
      <w:pPr>
        <w:tabs>
          <w:tab w:val="num" w:pos="720"/>
        </w:tabs>
        <w:ind w:left="720" w:hanging="360"/>
      </w:pPr>
      <w:rPr>
        <w:rFonts w:ascii="Arial" w:hAnsi="Arial"/>
        <w:dstrike w:val="0"/>
        <w:color w:val="auto"/>
        <w:sz w:val="22"/>
        <w:vertAlign w:val="baseline"/>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nsid w:val="2F8428FA"/>
    <w:multiLevelType w:val="hybridMultilevel"/>
    <w:tmpl w:val="63BED94E"/>
    <w:lvl w:ilvl="0" w:tplc="0409000F">
      <w:start w:val="1"/>
      <w:numFmt w:val="decimal"/>
      <w:lvlText w:val="%1."/>
      <w:lvlJc w:val="left"/>
      <w:pPr>
        <w:tabs>
          <w:tab w:val="num" w:pos="720"/>
        </w:tabs>
        <w:ind w:left="720" w:hanging="360"/>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81540FF"/>
    <w:multiLevelType w:val="hybridMultilevel"/>
    <w:tmpl w:val="63BED94E"/>
    <w:lvl w:ilvl="0" w:tplc="0409000F">
      <w:start w:val="1"/>
      <w:numFmt w:val="decimal"/>
      <w:lvlText w:val="%1."/>
      <w:lvlJc w:val="left"/>
      <w:pPr>
        <w:tabs>
          <w:tab w:val="num" w:pos="720"/>
        </w:tabs>
        <w:ind w:left="720" w:hanging="360"/>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D2A23E0"/>
    <w:multiLevelType w:val="hybridMultilevel"/>
    <w:tmpl w:val="0DDACC2E"/>
    <w:lvl w:ilvl="0" w:tplc="0409000F">
      <w:start w:val="1"/>
      <w:numFmt w:val="decimal"/>
      <w:lvlText w:val="%1."/>
      <w:lvlJc w:val="left"/>
      <w:pPr>
        <w:tabs>
          <w:tab w:val="num" w:pos="720"/>
        </w:tabs>
        <w:ind w:left="720" w:hanging="360"/>
      </w:pPr>
      <w:rPr>
        <w:rFonts w:hint="default"/>
        <w:color w:val="433B67"/>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F7B08CA"/>
    <w:multiLevelType w:val="hybridMultilevel"/>
    <w:tmpl w:val="C5283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89540E5"/>
    <w:multiLevelType w:val="hybridMultilevel"/>
    <w:tmpl w:val="BD026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4B012110"/>
    <w:multiLevelType w:val="hybridMultilevel"/>
    <w:tmpl w:val="A9FE22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6A71BE3"/>
    <w:multiLevelType w:val="hybridMultilevel"/>
    <w:tmpl w:val="3356F9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93756D1"/>
    <w:multiLevelType w:val="hybridMultilevel"/>
    <w:tmpl w:val="63BED94E"/>
    <w:lvl w:ilvl="0" w:tplc="0409000F">
      <w:start w:val="1"/>
      <w:numFmt w:val="decimal"/>
      <w:lvlText w:val="%1."/>
      <w:lvlJc w:val="left"/>
      <w:pPr>
        <w:tabs>
          <w:tab w:val="num" w:pos="720"/>
        </w:tabs>
        <w:ind w:left="720" w:hanging="360"/>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59752D11"/>
    <w:multiLevelType w:val="hybridMultilevel"/>
    <w:tmpl w:val="495468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4497E68"/>
    <w:multiLevelType w:val="multilevel"/>
    <w:tmpl w:val="75469ADA"/>
    <w:lvl w:ilvl="0">
      <w:start w:val="1"/>
      <w:numFmt w:val="upperLetter"/>
      <w:pStyle w:val="AppendixHeading"/>
      <w:lvlText w:val="Appendix %1"/>
      <w:lvlJc w:val="left"/>
      <w:pPr>
        <w:ind w:left="360" w:hanging="360"/>
      </w:pPr>
      <w:rPr>
        <w:rFonts w:hint="default"/>
        <w:b/>
        <w:bCs w:val="0"/>
        <w:i w:val="0"/>
        <w:iCs w:val="0"/>
        <w:caps w:val="0"/>
        <w:smallCaps w:val="0"/>
        <w:strike w:val="0"/>
        <w:dstrike w:val="0"/>
        <w:noProof w:val="0"/>
        <w:snapToGrid w:val="0"/>
        <w:vanish w:val="0"/>
        <w:color w:val="1F497D"/>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ppendixHeading2"/>
      <w:lvlText w:val="%1.%2"/>
      <w:lvlJc w:val="left"/>
      <w:pPr>
        <w:ind w:left="882" w:hanging="432"/>
      </w:pPr>
      <w:rPr>
        <w:rFonts w:asciiTheme="minorHAnsi" w:hAnsiTheme="minorHAnsi" w:cstheme="minorHAnsi" w:hint="default"/>
        <w:b/>
        <w:bCs w:val="0"/>
        <w:i w:val="0"/>
        <w:iCs w:val="0"/>
        <w:caps w:val="0"/>
        <w:smallCaps w:val="0"/>
        <w:strike w:val="0"/>
        <w:dstrike w:val="0"/>
        <w:noProof w:val="0"/>
        <w:snapToGrid w:val="0"/>
        <w:vanish w:val="0"/>
        <w:color w:val="1F497D"/>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ppendixHeading3"/>
      <w:lvlText w:val="%1.%2.%3"/>
      <w:lvlJc w:val="left"/>
      <w:pPr>
        <w:ind w:left="1494" w:hanging="504"/>
      </w:pPr>
      <w:rPr>
        <w:rFonts w:asciiTheme="minorHAnsi" w:hAnsiTheme="minorHAnsi" w:cstheme="minorHAnsi" w:hint="default"/>
        <w:b/>
        <w:bCs w:val="0"/>
        <w:i w:val="0"/>
        <w:iCs w:val="0"/>
        <w:caps w:val="0"/>
        <w:smallCaps w:val="0"/>
        <w:strike w:val="0"/>
        <w:dstrike w:val="0"/>
        <w:noProof w:val="0"/>
        <w:snapToGrid w:val="0"/>
        <w:vanish w:val="0"/>
        <w:color w:val="1F497D"/>
        <w:spacing w:val="0"/>
        <w:w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6D0F2EE8"/>
    <w:multiLevelType w:val="multilevel"/>
    <w:tmpl w:val="9F68006A"/>
    <w:styleLink w:val="Numbered"/>
    <w:lvl w:ilvl="0">
      <w:start w:val="1"/>
      <w:numFmt w:val="decimal"/>
      <w:lvlText w:val="%1"/>
      <w:lvlJc w:val="left"/>
      <w:pPr>
        <w:tabs>
          <w:tab w:val="num" w:pos="720"/>
        </w:tabs>
        <w:ind w:left="720" w:hanging="360"/>
      </w:pPr>
      <w:rPr>
        <w:rFonts w:ascii="Arial" w:hAnsi="Arial"/>
        <w:dstrike w:val="0"/>
        <w:color w:val="000000" w:themeColor="text1"/>
        <w:sz w:val="22"/>
        <w:vertAlign w:val="baseline"/>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nsid w:val="72F8560F"/>
    <w:multiLevelType w:val="hybridMultilevel"/>
    <w:tmpl w:val="032AA4FC"/>
    <w:lvl w:ilvl="0" w:tplc="7BC6E8E4">
      <w:start w:val="3"/>
      <w:numFmt w:val="bullet"/>
      <w:lvlText w:val="-"/>
      <w:lvlJc w:val="left"/>
      <w:pPr>
        <w:ind w:left="405" w:hanging="360"/>
      </w:pPr>
      <w:rPr>
        <w:rFonts w:ascii="Calibri" w:eastAsiaTheme="minorEastAsia" w:hAnsi="Calibri"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num w:numId="1">
    <w:abstractNumId w:val="1"/>
  </w:num>
  <w:num w:numId="2">
    <w:abstractNumId w:val="14"/>
  </w:num>
  <w:num w:numId="3">
    <w:abstractNumId w:val="3"/>
  </w:num>
  <w:num w:numId="4">
    <w:abstractNumId w:val="15"/>
  </w:num>
  <w:num w:numId="5">
    <w:abstractNumId w:val="4"/>
  </w:num>
  <w:num w:numId="6">
    <w:abstractNumId w:val="2"/>
  </w:num>
  <w:num w:numId="7">
    <w:abstractNumId w:val="0"/>
  </w:num>
  <w:num w:numId="8">
    <w:abstractNumId w:val="16"/>
  </w:num>
  <w:num w:numId="9">
    <w:abstractNumId w:val="13"/>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num>
  <w:num w:numId="12">
    <w:abstractNumId w:val="9"/>
  </w:num>
  <w:num w:numId="13">
    <w:abstractNumId w:val="11"/>
  </w:num>
  <w:num w:numId="14">
    <w:abstractNumId w:val="6"/>
  </w:num>
  <w:num w:numId="15">
    <w:abstractNumId w:val="10"/>
  </w:num>
  <w:num w:numId="16">
    <w:abstractNumId w:val="7"/>
  </w:num>
  <w:num w:numId="17">
    <w:abstractNumId w:val="12"/>
  </w:num>
  <w:num w:numId="18">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proofState w:spelling="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drawingGridHorizontalSpacing w:val="110"/>
  <w:displayHorizontalDrawingGridEvery w:val="2"/>
  <w:characterSpacingControl w:val="doNotCompress"/>
  <w:hdrShapeDefaults>
    <o:shapedefaults v:ext="edit" spidmax="4097" strokecolor="#1f497d">
      <v:stroke color="#1f497d" weight="3pt"/>
      <v:shadow on="t" type="perspective" color="none [1607]" opacity=".5" offset="1pt" offset2="-1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594A"/>
    <w:rsid w:val="000027C8"/>
    <w:rsid w:val="00004559"/>
    <w:rsid w:val="00014A86"/>
    <w:rsid w:val="0001614D"/>
    <w:rsid w:val="00020BC6"/>
    <w:rsid w:val="0002323C"/>
    <w:rsid w:val="00025AC5"/>
    <w:rsid w:val="00033087"/>
    <w:rsid w:val="000345A1"/>
    <w:rsid w:val="0003522B"/>
    <w:rsid w:val="000357CA"/>
    <w:rsid w:val="00042402"/>
    <w:rsid w:val="00052501"/>
    <w:rsid w:val="0005378B"/>
    <w:rsid w:val="0005598B"/>
    <w:rsid w:val="0006172C"/>
    <w:rsid w:val="000654DC"/>
    <w:rsid w:val="00073AAB"/>
    <w:rsid w:val="00083E7B"/>
    <w:rsid w:val="0008746D"/>
    <w:rsid w:val="000915F1"/>
    <w:rsid w:val="00091868"/>
    <w:rsid w:val="00092BFE"/>
    <w:rsid w:val="000B1A1B"/>
    <w:rsid w:val="000B35D1"/>
    <w:rsid w:val="000B6609"/>
    <w:rsid w:val="000C5046"/>
    <w:rsid w:val="000D05A0"/>
    <w:rsid w:val="000D7B44"/>
    <w:rsid w:val="000E5123"/>
    <w:rsid w:val="000E6E74"/>
    <w:rsid w:val="000F32CA"/>
    <w:rsid w:val="000F35A1"/>
    <w:rsid w:val="00107177"/>
    <w:rsid w:val="00107A41"/>
    <w:rsid w:val="00114004"/>
    <w:rsid w:val="00126801"/>
    <w:rsid w:val="00131963"/>
    <w:rsid w:val="001324E3"/>
    <w:rsid w:val="001326D6"/>
    <w:rsid w:val="00134D4B"/>
    <w:rsid w:val="00137F86"/>
    <w:rsid w:val="001411FB"/>
    <w:rsid w:val="00141481"/>
    <w:rsid w:val="00141F4F"/>
    <w:rsid w:val="00142ACF"/>
    <w:rsid w:val="00142E37"/>
    <w:rsid w:val="00143E9F"/>
    <w:rsid w:val="00153E98"/>
    <w:rsid w:val="00155670"/>
    <w:rsid w:val="00157BFA"/>
    <w:rsid w:val="00163508"/>
    <w:rsid w:val="00163F18"/>
    <w:rsid w:val="00165103"/>
    <w:rsid w:val="00166B35"/>
    <w:rsid w:val="0017123A"/>
    <w:rsid w:val="001724C3"/>
    <w:rsid w:val="001779E9"/>
    <w:rsid w:val="001822D4"/>
    <w:rsid w:val="001836C9"/>
    <w:rsid w:val="00185A22"/>
    <w:rsid w:val="00192CF8"/>
    <w:rsid w:val="00196B62"/>
    <w:rsid w:val="001A200E"/>
    <w:rsid w:val="001A3113"/>
    <w:rsid w:val="001A71A9"/>
    <w:rsid w:val="001B0ACB"/>
    <w:rsid w:val="001B352B"/>
    <w:rsid w:val="001B43DF"/>
    <w:rsid w:val="001C1F7B"/>
    <w:rsid w:val="001C5D94"/>
    <w:rsid w:val="001C752A"/>
    <w:rsid w:val="001D27E8"/>
    <w:rsid w:val="001D628D"/>
    <w:rsid w:val="001E122F"/>
    <w:rsid w:val="001E35A3"/>
    <w:rsid w:val="001E4F10"/>
    <w:rsid w:val="001E6E62"/>
    <w:rsid w:val="001E7B77"/>
    <w:rsid w:val="001F03FC"/>
    <w:rsid w:val="001F0BFC"/>
    <w:rsid w:val="001F5513"/>
    <w:rsid w:val="001F7DD4"/>
    <w:rsid w:val="002077EA"/>
    <w:rsid w:val="0021176A"/>
    <w:rsid w:val="00213694"/>
    <w:rsid w:val="00213E00"/>
    <w:rsid w:val="00217F54"/>
    <w:rsid w:val="002436C1"/>
    <w:rsid w:val="002460F1"/>
    <w:rsid w:val="002529B8"/>
    <w:rsid w:val="00252FAF"/>
    <w:rsid w:val="002544D0"/>
    <w:rsid w:val="00265F85"/>
    <w:rsid w:val="00266226"/>
    <w:rsid w:val="00267C17"/>
    <w:rsid w:val="0027078E"/>
    <w:rsid w:val="00272C6A"/>
    <w:rsid w:val="00275DBE"/>
    <w:rsid w:val="0028429E"/>
    <w:rsid w:val="002842C9"/>
    <w:rsid w:val="0028548F"/>
    <w:rsid w:val="00290A03"/>
    <w:rsid w:val="0029474E"/>
    <w:rsid w:val="00296D0C"/>
    <w:rsid w:val="002A6B02"/>
    <w:rsid w:val="002B07E5"/>
    <w:rsid w:val="002B16D8"/>
    <w:rsid w:val="002B4386"/>
    <w:rsid w:val="002C5BF9"/>
    <w:rsid w:val="002C604A"/>
    <w:rsid w:val="002F0157"/>
    <w:rsid w:val="002F0D62"/>
    <w:rsid w:val="002F58AD"/>
    <w:rsid w:val="002F663B"/>
    <w:rsid w:val="00305437"/>
    <w:rsid w:val="00305AAF"/>
    <w:rsid w:val="0030615C"/>
    <w:rsid w:val="003076DE"/>
    <w:rsid w:val="0031330B"/>
    <w:rsid w:val="00313B12"/>
    <w:rsid w:val="003148F1"/>
    <w:rsid w:val="003301AE"/>
    <w:rsid w:val="00334712"/>
    <w:rsid w:val="00344C3B"/>
    <w:rsid w:val="0034704D"/>
    <w:rsid w:val="00351B17"/>
    <w:rsid w:val="0036226B"/>
    <w:rsid w:val="00365361"/>
    <w:rsid w:val="00385706"/>
    <w:rsid w:val="003903E5"/>
    <w:rsid w:val="00393B5B"/>
    <w:rsid w:val="003A0F85"/>
    <w:rsid w:val="003A132A"/>
    <w:rsid w:val="003A1623"/>
    <w:rsid w:val="003A4BA1"/>
    <w:rsid w:val="003A590B"/>
    <w:rsid w:val="003C20D6"/>
    <w:rsid w:val="003C7B6F"/>
    <w:rsid w:val="003D2F3C"/>
    <w:rsid w:val="003D68A0"/>
    <w:rsid w:val="003E16E1"/>
    <w:rsid w:val="003E43D8"/>
    <w:rsid w:val="003E4B65"/>
    <w:rsid w:val="003F1D00"/>
    <w:rsid w:val="003F78F5"/>
    <w:rsid w:val="00400A49"/>
    <w:rsid w:val="00402951"/>
    <w:rsid w:val="00423629"/>
    <w:rsid w:val="004258B4"/>
    <w:rsid w:val="00434C5C"/>
    <w:rsid w:val="00436018"/>
    <w:rsid w:val="00454D75"/>
    <w:rsid w:val="00455294"/>
    <w:rsid w:val="0046277A"/>
    <w:rsid w:val="00491043"/>
    <w:rsid w:val="004A2F96"/>
    <w:rsid w:val="004A5BEF"/>
    <w:rsid w:val="004B47B8"/>
    <w:rsid w:val="004B50C8"/>
    <w:rsid w:val="004C43B6"/>
    <w:rsid w:val="004D2A50"/>
    <w:rsid w:val="004D2F04"/>
    <w:rsid w:val="004D5A32"/>
    <w:rsid w:val="004E5D3E"/>
    <w:rsid w:val="004F198A"/>
    <w:rsid w:val="004F260D"/>
    <w:rsid w:val="00504474"/>
    <w:rsid w:val="005049F8"/>
    <w:rsid w:val="00506D10"/>
    <w:rsid w:val="00507961"/>
    <w:rsid w:val="00511E4B"/>
    <w:rsid w:val="00512341"/>
    <w:rsid w:val="0052054D"/>
    <w:rsid w:val="00520AE2"/>
    <w:rsid w:val="00524102"/>
    <w:rsid w:val="00525279"/>
    <w:rsid w:val="00525967"/>
    <w:rsid w:val="005318F8"/>
    <w:rsid w:val="00533ECF"/>
    <w:rsid w:val="0053674E"/>
    <w:rsid w:val="00543088"/>
    <w:rsid w:val="00544767"/>
    <w:rsid w:val="0054686D"/>
    <w:rsid w:val="0055076D"/>
    <w:rsid w:val="00550DC4"/>
    <w:rsid w:val="00551CAF"/>
    <w:rsid w:val="00555C8E"/>
    <w:rsid w:val="00565A04"/>
    <w:rsid w:val="00572BFF"/>
    <w:rsid w:val="0057603B"/>
    <w:rsid w:val="00577956"/>
    <w:rsid w:val="00585721"/>
    <w:rsid w:val="005915B8"/>
    <w:rsid w:val="00597915"/>
    <w:rsid w:val="005A0505"/>
    <w:rsid w:val="005A6BC4"/>
    <w:rsid w:val="005B4AFE"/>
    <w:rsid w:val="005D003F"/>
    <w:rsid w:val="005E0638"/>
    <w:rsid w:val="005E08AE"/>
    <w:rsid w:val="005E18C3"/>
    <w:rsid w:val="005E1A52"/>
    <w:rsid w:val="005E450D"/>
    <w:rsid w:val="005E4546"/>
    <w:rsid w:val="005E72A3"/>
    <w:rsid w:val="00603A0B"/>
    <w:rsid w:val="00612734"/>
    <w:rsid w:val="006133D2"/>
    <w:rsid w:val="00614536"/>
    <w:rsid w:val="00617F0B"/>
    <w:rsid w:val="006331D6"/>
    <w:rsid w:val="00635544"/>
    <w:rsid w:val="00636485"/>
    <w:rsid w:val="00643798"/>
    <w:rsid w:val="006455A7"/>
    <w:rsid w:val="00647B84"/>
    <w:rsid w:val="006717E3"/>
    <w:rsid w:val="00671DF8"/>
    <w:rsid w:val="00675B29"/>
    <w:rsid w:val="00680A25"/>
    <w:rsid w:val="00685B44"/>
    <w:rsid w:val="00691A22"/>
    <w:rsid w:val="006947D9"/>
    <w:rsid w:val="006A0488"/>
    <w:rsid w:val="006A61DE"/>
    <w:rsid w:val="006B0705"/>
    <w:rsid w:val="006B6F52"/>
    <w:rsid w:val="006C1290"/>
    <w:rsid w:val="006C4394"/>
    <w:rsid w:val="006D2DF1"/>
    <w:rsid w:val="006D5CA8"/>
    <w:rsid w:val="006E1D1D"/>
    <w:rsid w:val="006E1DD2"/>
    <w:rsid w:val="006F6BCD"/>
    <w:rsid w:val="007028D9"/>
    <w:rsid w:val="00702A03"/>
    <w:rsid w:val="00702BF5"/>
    <w:rsid w:val="00705556"/>
    <w:rsid w:val="0071105E"/>
    <w:rsid w:val="00714E55"/>
    <w:rsid w:val="0071752B"/>
    <w:rsid w:val="00717EB1"/>
    <w:rsid w:val="00717FCF"/>
    <w:rsid w:val="007215C6"/>
    <w:rsid w:val="00721E89"/>
    <w:rsid w:val="00723336"/>
    <w:rsid w:val="00725456"/>
    <w:rsid w:val="0073092D"/>
    <w:rsid w:val="007336EB"/>
    <w:rsid w:val="00740F03"/>
    <w:rsid w:val="00752687"/>
    <w:rsid w:val="007534FE"/>
    <w:rsid w:val="00757FE6"/>
    <w:rsid w:val="007606E1"/>
    <w:rsid w:val="00761077"/>
    <w:rsid w:val="00762D10"/>
    <w:rsid w:val="0076586D"/>
    <w:rsid w:val="00767A46"/>
    <w:rsid w:val="007715BA"/>
    <w:rsid w:val="0077302F"/>
    <w:rsid w:val="007767DF"/>
    <w:rsid w:val="00780872"/>
    <w:rsid w:val="00781A3A"/>
    <w:rsid w:val="007933F9"/>
    <w:rsid w:val="007A3781"/>
    <w:rsid w:val="007A568A"/>
    <w:rsid w:val="007B782E"/>
    <w:rsid w:val="007C29F6"/>
    <w:rsid w:val="007C49EB"/>
    <w:rsid w:val="007D4EB9"/>
    <w:rsid w:val="007D73DD"/>
    <w:rsid w:val="007F078B"/>
    <w:rsid w:val="0080103F"/>
    <w:rsid w:val="0080456A"/>
    <w:rsid w:val="00815A74"/>
    <w:rsid w:val="0082278C"/>
    <w:rsid w:val="00823292"/>
    <w:rsid w:val="00824815"/>
    <w:rsid w:val="00825E80"/>
    <w:rsid w:val="00830CBB"/>
    <w:rsid w:val="0083129A"/>
    <w:rsid w:val="008318CF"/>
    <w:rsid w:val="00832B87"/>
    <w:rsid w:val="0084211B"/>
    <w:rsid w:val="00845265"/>
    <w:rsid w:val="0084569F"/>
    <w:rsid w:val="00847CEE"/>
    <w:rsid w:val="00850D16"/>
    <w:rsid w:val="00851537"/>
    <w:rsid w:val="00852826"/>
    <w:rsid w:val="00856DCD"/>
    <w:rsid w:val="008664B5"/>
    <w:rsid w:val="00872170"/>
    <w:rsid w:val="00875B70"/>
    <w:rsid w:val="00876972"/>
    <w:rsid w:val="008817EE"/>
    <w:rsid w:val="00886861"/>
    <w:rsid w:val="00891B6B"/>
    <w:rsid w:val="00897CE9"/>
    <w:rsid w:val="008A320F"/>
    <w:rsid w:val="008A5074"/>
    <w:rsid w:val="008B0F95"/>
    <w:rsid w:val="008B39F4"/>
    <w:rsid w:val="008B5FD5"/>
    <w:rsid w:val="008C08C4"/>
    <w:rsid w:val="008C1C00"/>
    <w:rsid w:val="008C2D62"/>
    <w:rsid w:val="008D3284"/>
    <w:rsid w:val="008D5B54"/>
    <w:rsid w:val="008E6E4B"/>
    <w:rsid w:val="008F14F1"/>
    <w:rsid w:val="00905726"/>
    <w:rsid w:val="00905A98"/>
    <w:rsid w:val="009063B1"/>
    <w:rsid w:val="00906FB0"/>
    <w:rsid w:val="00917BEF"/>
    <w:rsid w:val="00917E47"/>
    <w:rsid w:val="00935C56"/>
    <w:rsid w:val="0094682C"/>
    <w:rsid w:val="00956D00"/>
    <w:rsid w:val="009619DE"/>
    <w:rsid w:val="00962DF9"/>
    <w:rsid w:val="00962E4A"/>
    <w:rsid w:val="0096354E"/>
    <w:rsid w:val="009637FD"/>
    <w:rsid w:val="0096474F"/>
    <w:rsid w:val="00966FE3"/>
    <w:rsid w:val="00992137"/>
    <w:rsid w:val="00996077"/>
    <w:rsid w:val="009967CB"/>
    <w:rsid w:val="009A16B1"/>
    <w:rsid w:val="009A2759"/>
    <w:rsid w:val="009A2F38"/>
    <w:rsid w:val="009A3834"/>
    <w:rsid w:val="009B1FE8"/>
    <w:rsid w:val="009C0139"/>
    <w:rsid w:val="009C1096"/>
    <w:rsid w:val="009C1CB1"/>
    <w:rsid w:val="009C6303"/>
    <w:rsid w:val="009D6336"/>
    <w:rsid w:val="009E21D7"/>
    <w:rsid w:val="009E3F2C"/>
    <w:rsid w:val="009E5412"/>
    <w:rsid w:val="009E5BC1"/>
    <w:rsid w:val="009E7ED6"/>
    <w:rsid w:val="00A0172F"/>
    <w:rsid w:val="00A02F93"/>
    <w:rsid w:val="00A065FB"/>
    <w:rsid w:val="00A17E04"/>
    <w:rsid w:val="00A23078"/>
    <w:rsid w:val="00A24367"/>
    <w:rsid w:val="00A24468"/>
    <w:rsid w:val="00A40B9A"/>
    <w:rsid w:val="00A557DC"/>
    <w:rsid w:val="00A56E31"/>
    <w:rsid w:val="00A6555F"/>
    <w:rsid w:val="00A8324D"/>
    <w:rsid w:val="00AA7D6E"/>
    <w:rsid w:val="00AB380F"/>
    <w:rsid w:val="00AC3023"/>
    <w:rsid w:val="00AC38A2"/>
    <w:rsid w:val="00AC4BAA"/>
    <w:rsid w:val="00AC555E"/>
    <w:rsid w:val="00AC6052"/>
    <w:rsid w:val="00AC74ED"/>
    <w:rsid w:val="00AE32C7"/>
    <w:rsid w:val="00AE636A"/>
    <w:rsid w:val="00B05283"/>
    <w:rsid w:val="00B07122"/>
    <w:rsid w:val="00B07EFB"/>
    <w:rsid w:val="00B07F5F"/>
    <w:rsid w:val="00B24EF7"/>
    <w:rsid w:val="00B30F21"/>
    <w:rsid w:val="00B34237"/>
    <w:rsid w:val="00B34F61"/>
    <w:rsid w:val="00B35801"/>
    <w:rsid w:val="00B46DE1"/>
    <w:rsid w:val="00B50663"/>
    <w:rsid w:val="00B50900"/>
    <w:rsid w:val="00B5222F"/>
    <w:rsid w:val="00B5598C"/>
    <w:rsid w:val="00B61D17"/>
    <w:rsid w:val="00B65BD4"/>
    <w:rsid w:val="00B6769A"/>
    <w:rsid w:val="00B74315"/>
    <w:rsid w:val="00B77253"/>
    <w:rsid w:val="00B86C76"/>
    <w:rsid w:val="00B87B25"/>
    <w:rsid w:val="00B96BE5"/>
    <w:rsid w:val="00B97B81"/>
    <w:rsid w:val="00BA323B"/>
    <w:rsid w:val="00BA3459"/>
    <w:rsid w:val="00BC02C6"/>
    <w:rsid w:val="00BC1231"/>
    <w:rsid w:val="00BC3CCA"/>
    <w:rsid w:val="00BC6370"/>
    <w:rsid w:val="00BC6EC4"/>
    <w:rsid w:val="00BC7E9F"/>
    <w:rsid w:val="00BD382F"/>
    <w:rsid w:val="00BD6DA7"/>
    <w:rsid w:val="00BD78CF"/>
    <w:rsid w:val="00BE274D"/>
    <w:rsid w:val="00BE419E"/>
    <w:rsid w:val="00BE46E0"/>
    <w:rsid w:val="00BE743B"/>
    <w:rsid w:val="00BF0E5C"/>
    <w:rsid w:val="00BF594A"/>
    <w:rsid w:val="00BF66A4"/>
    <w:rsid w:val="00C003A1"/>
    <w:rsid w:val="00C00432"/>
    <w:rsid w:val="00C053C2"/>
    <w:rsid w:val="00C0654D"/>
    <w:rsid w:val="00C17007"/>
    <w:rsid w:val="00C2287B"/>
    <w:rsid w:val="00C27612"/>
    <w:rsid w:val="00C33F08"/>
    <w:rsid w:val="00C452BD"/>
    <w:rsid w:val="00C54B6D"/>
    <w:rsid w:val="00C566BC"/>
    <w:rsid w:val="00C623D7"/>
    <w:rsid w:val="00C66141"/>
    <w:rsid w:val="00C70D80"/>
    <w:rsid w:val="00C72B69"/>
    <w:rsid w:val="00C74911"/>
    <w:rsid w:val="00C81F2C"/>
    <w:rsid w:val="00C83845"/>
    <w:rsid w:val="00C92EB8"/>
    <w:rsid w:val="00C95AF2"/>
    <w:rsid w:val="00CA0D6E"/>
    <w:rsid w:val="00CA1BF4"/>
    <w:rsid w:val="00CA4FA0"/>
    <w:rsid w:val="00CA7949"/>
    <w:rsid w:val="00CB27F8"/>
    <w:rsid w:val="00CB6C6A"/>
    <w:rsid w:val="00CC0C48"/>
    <w:rsid w:val="00CC7117"/>
    <w:rsid w:val="00CC77FD"/>
    <w:rsid w:val="00CD5405"/>
    <w:rsid w:val="00CD7AB5"/>
    <w:rsid w:val="00CF1B0D"/>
    <w:rsid w:val="00CF719B"/>
    <w:rsid w:val="00CF796B"/>
    <w:rsid w:val="00CF7B44"/>
    <w:rsid w:val="00D04113"/>
    <w:rsid w:val="00D04A27"/>
    <w:rsid w:val="00D1196A"/>
    <w:rsid w:val="00D223F3"/>
    <w:rsid w:val="00D343FE"/>
    <w:rsid w:val="00D34C82"/>
    <w:rsid w:val="00D51EF3"/>
    <w:rsid w:val="00D53A09"/>
    <w:rsid w:val="00D56C2A"/>
    <w:rsid w:val="00D773A3"/>
    <w:rsid w:val="00D80E42"/>
    <w:rsid w:val="00D82BA1"/>
    <w:rsid w:val="00D90487"/>
    <w:rsid w:val="00D91DFF"/>
    <w:rsid w:val="00D9770B"/>
    <w:rsid w:val="00DB0374"/>
    <w:rsid w:val="00DB35F9"/>
    <w:rsid w:val="00DB377E"/>
    <w:rsid w:val="00DC0CC9"/>
    <w:rsid w:val="00DC0EF5"/>
    <w:rsid w:val="00DC6248"/>
    <w:rsid w:val="00DD4EF5"/>
    <w:rsid w:val="00DD68EC"/>
    <w:rsid w:val="00DD6B86"/>
    <w:rsid w:val="00DE168F"/>
    <w:rsid w:val="00DE2A98"/>
    <w:rsid w:val="00DE4B63"/>
    <w:rsid w:val="00DF1A08"/>
    <w:rsid w:val="00DF6AAD"/>
    <w:rsid w:val="00E027F1"/>
    <w:rsid w:val="00E178FD"/>
    <w:rsid w:val="00E429BD"/>
    <w:rsid w:val="00E466F5"/>
    <w:rsid w:val="00E46770"/>
    <w:rsid w:val="00E524D6"/>
    <w:rsid w:val="00E5325F"/>
    <w:rsid w:val="00E61AB1"/>
    <w:rsid w:val="00E65005"/>
    <w:rsid w:val="00E65A42"/>
    <w:rsid w:val="00E678B5"/>
    <w:rsid w:val="00E80B45"/>
    <w:rsid w:val="00E82AE4"/>
    <w:rsid w:val="00E8660E"/>
    <w:rsid w:val="00E9273B"/>
    <w:rsid w:val="00E9285C"/>
    <w:rsid w:val="00E97668"/>
    <w:rsid w:val="00EA72EE"/>
    <w:rsid w:val="00EB2941"/>
    <w:rsid w:val="00EC26CC"/>
    <w:rsid w:val="00EC35E2"/>
    <w:rsid w:val="00ED0FDB"/>
    <w:rsid w:val="00ED4113"/>
    <w:rsid w:val="00ED61A8"/>
    <w:rsid w:val="00EE5649"/>
    <w:rsid w:val="00EF12DF"/>
    <w:rsid w:val="00EF4CF2"/>
    <w:rsid w:val="00F1206B"/>
    <w:rsid w:val="00F155D1"/>
    <w:rsid w:val="00F179F1"/>
    <w:rsid w:val="00F24446"/>
    <w:rsid w:val="00F25968"/>
    <w:rsid w:val="00F30265"/>
    <w:rsid w:val="00F37CA7"/>
    <w:rsid w:val="00F428C8"/>
    <w:rsid w:val="00F46241"/>
    <w:rsid w:val="00F50555"/>
    <w:rsid w:val="00F50A5A"/>
    <w:rsid w:val="00F51373"/>
    <w:rsid w:val="00F535B2"/>
    <w:rsid w:val="00F5383C"/>
    <w:rsid w:val="00F64960"/>
    <w:rsid w:val="00F7270F"/>
    <w:rsid w:val="00F74016"/>
    <w:rsid w:val="00F833A9"/>
    <w:rsid w:val="00F86A7D"/>
    <w:rsid w:val="00F91644"/>
    <w:rsid w:val="00F926F0"/>
    <w:rsid w:val="00F92E49"/>
    <w:rsid w:val="00F951A5"/>
    <w:rsid w:val="00F95B60"/>
    <w:rsid w:val="00FA5B09"/>
    <w:rsid w:val="00FB3B93"/>
    <w:rsid w:val="00FB548D"/>
    <w:rsid w:val="00FC01B5"/>
    <w:rsid w:val="00FC0746"/>
    <w:rsid w:val="00FC0A7F"/>
    <w:rsid w:val="00FC0F66"/>
    <w:rsid w:val="00FD27A6"/>
    <w:rsid w:val="00FD3129"/>
    <w:rsid w:val="00FD51F4"/>
    <w:rsid w:val="00FE1D3E"/>
    <w:rsid w:val="00FF468E"/>
    <w:rsid w:val="00FF51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strokecolor="#1f497d">
      <v:stroke color="#1f497d" weight="3pt"/>
      <v:shadow on="t" type="perspective" color="none [1607]" opacity=".5" offset="1pt" offset2="-1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next w:val="BodyParagraph"/>
    <w:link w:val="Heading1Char"/>
    <w:qFormat/>
    <w:rsid w:val="00143E9F"/>
    <w:pPr>
      <w:keepNext/>
      <w:numPr>
        <w:numId w:val="3"/>
      </w:numPr>
      <w:spacing w:after="120" w:line="240" w:lineRule="auto"/>
      <w:ind w:left="360" w:hanging="360"/>
      <w:outlineLvl w:val="0"/>
    </w:pPr>
    <w:rPr>
      <w:rFonts w:eastAsia="Times New Roman" w:cs="Times New Roman"/>
      <w:b/>
      <w:color w:val="1F497D"/>
      <w:sz w:val="28"/>
      <w:szCs w:val="28"/>
    </w:rPr>
  </w:style>
  <w:style w:type="paragraph" w:styleId="Heading2">
    <w:name w:val="heading 2"/>
    <w:basedOn w:val="Heading1"/>
    <w:next w:val="BodyParagraph"/>
    <w:link w:val="Heading2Char"/>
    <w:uiPriority w:val="9"/>
    <w:unhideWhenUsed/>
    <w:qFormat/>
    <w:rsid w:val="00143E9F"/>
    <w:pPr>
      <w:numPr>
        <w:ilvl w:val="1"/>
      </w:numPr>
      <w:ind w:left="540" w:hanging="540"/>
      <w:outlineLvl w:val="1"/>
    </w:pPr>
    <w:rPr>
      <w:rFonts w:eastAsiaTheme="majorEastAsia" w:cstheme="majorBidi"/>
      <w:bCs/>
      <w:sz w:val="26"/>
      <w:szCs w:val="26"/>
    </w:rPr>
  </w:style>
  <w:style w:type="paragraph" w:styleId="Heading3">
    <w:name w:val="heading 3"/>
    <w:basedOn w:val="Heading2"/>
    <w:next w:val="BodyParagraph"/>
    <w:link w:val="Heading3Char"/>
    <w:uiPriority w:val="9"/>
    <w:unhideWhenUsed/>
    <w:qFormat/>
    <w:rsid w:val="00143E9F"/>
    <w:pPr>
      <w:keepLines/>
      <w:numPr>
        <w:ilvl w:val="2"/>
      </w:numPr>
      <w:ind w:left="1080"/>
      <w:outlineLvl w:val="2"/>
    </w:pPr>
    <w:rPr>
      <w:bCs w:val="0"/>
    </w:rPr>
  </w:style>
  <w:style w:type="paragraph" w:styleId="Heading4">
    <w:name w:val="heading 4"/>
    <w:basedOn w:val="Normal"/>
    <w:next w:val="BodyParagraph"/>
    <w:link w:val="Heading4Char"/>
    <w:uiPriority w:val="9"/>
    <w:unhideWhenUsed/>
    <w:qFormat/>
    <w:rsid w:val="0028429E"/>
    <w:pPr>
      <w:keepNext/>
      <w:keepLines/>
      <w:spacing w:before="200" w:after="0"/>
      <w:ind w:left="360"/>
      <w:outlineLvl w:val="3"/>
    </w:pPr>
    <w:rPr>
      <w:rFonts w:ascii="Calibri" w:eastAsiaTheme="majorEastAsia" w:hAnsi="Calibri" w:cs="Arial"/>
      <w:b/>
      <w:bCs/>
      <w:i/>
      <w:iCs/>
      <w:color w:val="1F497D"/>
      <w:sz w:val="24"/>
    </w:rPr>
  </w:style>
  <w:style w:type="paragraph" w:styleId="Heading5">
    <w:name w:val="heading 5"/>
    <w:basedOn w:val="Normal"/>
    <w:next w:val="Normal"/>
    <w:link w:val="Heading5Char"/>
    <w:uiPriority w:val="9"/>
    <w:unhideWhenUsed/>
    <w:qFormat/>
    <w:rsid w:val="0046277A"/>
    <w:pPr>
      <w:keepNext/>
      <w:keepLines/>
      <w:numPr>
        <w:ilvl w:val="4"/>
        <w:numId w:val="3"/>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46277A"/>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46277A"/>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46277A"/>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46277A"/>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A6B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A6B02"/>
    <w:rPr>
      <w:rFonts w:ascii="Tahoma" w:hAnsi="Tahoma" w:cs="Tahoma"/>
      <w:sz w:val="16"/>
      <w:szCs w:val="16"/>
    </w:rPr>
  </w:style>
  <w:style w:type="paragraph" w:customStyle="1" w:styleId="TitleHeader">
    <w:name w:val="Title Header"/>
    <w:qFormat/>
    <w:rsid w:val="002A6B02"/>
    <w:pPr>
      <w:spacing w:after="120" w:line="240" w:lineRule="auto"/>
    </w:pPr>
    <w:rPr>
      <w:rFonts w:ascii="Arial" w:eastAsia="Times New Roman" w:hAnsi="Arial" w:cs="Arial"/>
      <w:b/>
      <w:i/>
      <w:color w:val="FFFFFF"/>
      <w:sz w:val="24"/>
      <w:szCs w:val="24"/>
    </w:rPr>
  </w:style>
  <w:style w:type="paragraph" w:customStyle="1" w:styleId="TitleProposal">
    <w:name w:val="Title Proposal"/>
    <w:qFormat/>
    <w:rsid w:val="00F535B2"/>
    <w:pPr>
      <w:spacing w:after="400" w:line="240" w:lineRule="auto"/>
    </w:pPr>
    <w:rPr>
      <w:rFonts w:ascii="Verdana" w:eastAsia="Times New Roman" w:hAnsi="Verdana" w:cs="Arial"/>
      <w:b/>
      <w:color w:val="FFFFFF"/>
      <w:sz w:val="28"/>
      <w:szCs w:val="28"/>
    </w:rPr>
  </w:style>
  <w:style w:type="paragraph" w:customStyle="1" w:styleId="TitleAddress">
    <w:name w:val="Title Address"/>
    <w:qFormat/>
    <w:rsid w:val="00F535B2"/>
    <w:pPr>
      <w:tabs>
        <w:tab w:val="left" w:pos="3960"/>
      </w:tabs>
      <w:spacing w:after="400" w:line="240" w:lineRule="auto"/>
    </w:pPr>
    <w:rPr>
      <w:rFonts w:ascii="Verdana" w:eastAsia="Times New Roman" w:hAnsi="Verdana" w:cs="Arial"/>
      <w:b/>
      <w:color w:val="FFFFFF"/>
    </w:rPr>
  </w:style>
  <w:style w:type="paragraph" w:styleId="Footer">
    <w:name w:val="footer"/>
    <w:basedOn w:val="Normal"/>
    <w:link w:val="FooterChar"/>
    <w:uiPriority w:val="99"/>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FooterChar">
    <w:name w:val="Footer Char"/>
    <w:basedOn w:val="DefaultParagraphFont"/>
    <w:link w:val="Footer"/>
    <w:uiPriority w:val="99"/>
    <w:rsid w:val="002A6B02"/>
    <w:rPr>
      <w:rFonts w:ascii="Arial" w:eastAsia="Times New Roman" w:hAnsi="Arial" w:cs="Times New Roman"/>
      <w:szCs w:val="24"/>
    </w:rPr>
  </w:style>
  <w:style w:type="character" w:styleId="PageNumber">
    <w:name w:val="page number"/>
    <w:basedOn w:val="DefaultParagraphFont"/>
    <w:rsid w:val="002A6B02"/>
  </w:style>
  <w:style w:type="paragraph" w:styleId="Header">
    <w:name w:val="header"/>
    <w:basedOn w:val="Normal"/>
    <w:link w:val="HeaderChar"/>
    <w:rsid w:val="000357CA"/>
    <w:pPr>
      <w:pBdr>
        <w:bottom w:val="dotted" w:sz="4" w:space="1" w:color="1F497D"/>
      </w:pBdr>
      <w:tabs>
        <w:tab w:val="center" w:pos="4320"/>
        <w:tab w:val="right" w:pos="8640"/>
      </w:tabs>
      <w:spacing w:after="0" w:line="240" w:lineRule="auto"/>
    </w:pPr>
    <w:rPr>
      <w:rFonts w:ascii="Arial" w:eastAsia="Times New Roman" w:hAnsi="Arial" w:cs="Times New Roman"/>
      <w:szCs w:val="24"/>
    </w:rPr>
  </w:style>
  <w:style w:type="character" w:customStyle="1" w:styleId="HeaderChar">
    <w:name w:val="Header Char"/>
    <w:basedOn w:val="DefaultParagraphFont"/>
    <w:link w:val="Header"/>
    <w:rsid w:val="000357CA"/>
    <w:rPr>
      <w:rFonts w:ascii="Arial" w:eastAsia="Times New Roman" w:hAnsi="Arial" w:cs="Times New Roman"/>
      <w:szCs w:val="24"/>
    </w:rPr>
  </w:style>
  <w:style w:type="paragraph" w:customStyle="1" w:styleId="PreparedFor">
    <w:name w:val="Prepared For"/>
    <w:rsid w:val="00F535B2"/>
    <w:pPr>
      <w:spacing w:before="400" w:after="120" w:line="240" w:lineRule="auto"/>
      <w:jc w:val="right"/>
    </w:pPr>
    <w:rPr>
      <w:rFonts w:ascii="Verdana" w:eastAsia="Times New Roman" w:hAnsi="Verdana" w:cs="Times New Roman"/>
      <w:i/>
      <w:szCs w:val="20"/>
    </w:rPr>
  </w:style>
  <w:style w:type="paragraph" w:customStyle="1" w:styleId="PreparedForCompany">
    <w:name w:val="Prepared For Company"/>
    <w:basedOn w:val="Normal"/>
    <w:qFormat/>
    <w:rsid w:val="00F535B2"/>
    <w:pPr>
      <w:spacing w:after="0" w:line="240" w:lineRule="auto"/>
      <w:jc w:val="right"/>
    </w:pPr>
    <w:rPr>
      <w:rFonts w:ascii="Verdana" w:eastAsia="Times New Roman" w:hAnsi="Verdana" w:cs="Times New Roman"/>
      <w:szCs w:val="24"/>
    </w:rPr>
  </w:style>
  <w:style w:type="character" w:customStyle="1" w:styleId="Heading1Char">
    <w:name w:val="Heading 1 Char"/>
    <w:basedOn w:val="DefaultParagraphFont"/>
    <w:link w:val="Heading1"/>
    <w:rsid w:val="00143E9F"/>
    <w:rPr>
      <w:rFonts w:eastAsia="Times New Roman" w:cs="Times New Roman"/>
      <w:b/>
      <w:color w:val="1F497D"/>
      <w:sz w:val="28"/>
      <w:szCs w:val="28"/>
    </w:rPr>
  </w:style>
  <w:style w:type="paragraph" w:styleId="TOCHeading">
    <w:name w:val="TOC Heading"/>
    <w:basedOn w:val="Heading1"/>
    <w:next w:val="Normal"/>
    <w:uiPriority w:val="39"/>
    <w:unhideWhenUsed/>
    <w:qFormat/>
    <w:rsid w:val="00F179F1"/>
    <w:pPr>
      <w:spacing w:before="480" w:after="0" w:line="276" w:lineRule="auto"/>
      <w:outlineLvl w:val="9"/>
    </w:pPr>
    <w:rPr>
      <w:rFonts w:asciiTheme="majorHAnsi" w:hAnsiTheme="majorHAnsi"/>
      <w:color w:val="365F91" w:themeColor="accent1" w:themeShade="BF"/>
    </w:rPr>
  </w:style>
  <w:style w:type="paragraph" w:styleId="TOC1">
    <w:name w:val="toc 1"/>
    <w:basedOn w:val="Normal"/>
    <w:next w:val="Normal"/>
    <w:autoRedefine/>
    <w:uiPriority w:val="39"/>
    <w:unhideWhenUsed/>
    <w:rsid w:val="00DE2A98"/>
    <w:pPr>
      <w:tabs>
        <w:tab w:val="left" w:pos="360"/>
        <w:tab w:val="left" w:pos="1170"/>
        <w:tab w:val="right" w:leader="dot" w:pos="8460"/>
      </w:tabs>
      <w:spacing w:after="100"/>
    </w:pPr>
    <w:rPr>
      <w:noProof/>
      <w:sz w:val="20"/>
    </w:rPr>
  </w:style>
  <w:style w:type="character" w:styleId="Hyperlink">
    <w:name w:val="Hyperlink"/>
    <w:basedOn w:val="DefaultParagraphFont"/>
    <w:uiPriority w:val="99"/>
    <w:unhideWhenUsed/>
    <w:rsid w:val="00CC0C48"/>
    <w:rPr>
      <w:color w:val="0000FF" w:themeColor="hyperlink"/>
    </w:rPr>
  </w:style>
  <w:style w:type="paragraph" w:customStyle="1" w:styleId="TableofContents">
    <w:name w:val="Table of Contents"/>
    <w:qFormat/>
    <w:rsid w:val="00B5598C"/>
    <w:pPr>
      <w:ind w:left="720"/>
    </w:pPr>
    <w:rPr>
      <w:rFonts w:eastAsia="Times New Roman" w:cs="Times New Roman"/>
      <w:b/>
      <w:color w:val="1F497D"/>
      <w:sz w:val="32"/>
      <w:szCs w:val="24"/>
    </w:rPr>
  </w:style>
  <w:style w:type="character" w:customStyle="1" w:styleId="Heading2Char">
    <w:name w:val="Heading 2 Char"/>
    <w:basedOn w:val="DefaultParagraphFont"/>
    <w:link w:val="Heading2"/>
    <w:uiPriority w:val="9"/>
    <w:rsid w:val="00143E9F"/>
    <w:rPr>
      <w:rFonts w:eastAsiaTheme="majorEastAsia" w:cstheme="majorBidi"/>
      <w:b/>
      <w:bCs/>
      <w:color w:val="1F497D"/>
      <w:sz w:val="26"/>
      <w:szCs w:val="26"/>
    </w:rPr>
  </w:style>
  <w:style w:type="paragraph" w:styleId="TOC2">
    <w:name w:val="toc 2"/>
    <w:basedOn w:val="Normal"/>
    <w:next w:val="Normal"/>
    <w:autoRedefine/>
    <w:uiPriority w:val="39"/>
    <w:unhideWhenUsed/>
    <w:rsid w:val="00E8660E"/>
    <w:pPr>
      <w:tabs>
        <w:tab w:val="left" w:pos="630"/>
        <w:tab w:val="right" w:leader="dot" w:pos="8460"/>
      </w:tabs>
      <w:spacing w:after="100"/>
      <w:ind w:left="180"/>
    </w:pPr>
    <w:rPr>
      <w:noProof/>
      <w:sz w:val="20"/>
    </w:rPr>
  </w:style>
  <w:style w:type="character" w:customStyle="1" w:styleId="Heading3Char">
    <w:name w:val="Heading 3 Char"/>
    <w:basedOn w:val="DefaultParagraphFont"/>
    <w:link w:val="Heading3"/>
    <w:uiPriority w:val="9"/>
    <w:rsid w:val="00143E9F"/>
    <w:rPr>
      <w:rFonts w:eastAsiaTheme="majorEastAsia" w:cstheme="majorBidi"/>
      <w:b/>
      <w:color w:val="1F497D"/>
      <w:sz w:val="26"/>
      <w:szCs w:val="26"/>
    </w:rPr>
  </w:style>
  <w:style w:type="paragraph" w:styleId="TOC3">
    <w:name w:val="toc 3"/>
    <w:basedOn w:val="Normal"/>
    <w:next w:val="Normal"/>
    <w:autoRedefine/>
    <w:uiPriority w:val="39"/>
    <w:unhideWhenUsed/>
    <w:rsid w:val="00F86A7D"/>
    <w:pPr>
      <w:tabs>
        <w:tab w:val="left" w:pos="900"/>
        <w:tab w:val="right" w:leader="dot" w:pos="8460"/>
      </w:tabs>
      <w:spacing w:after="100"/>
      <w:ind w:left="360"/>
    </w:pPr>
    <w:rPr>
      <w:rFonts w:ascii="Calibri" w:hAnsi="Calibri" w:cs="Arial"/>
      <w:noProof/>
      <w:sz w:val="20"/>
      <w:szCs w:val="24"/>
    </w:rPr>
  </w:style>
  <w:style w:type="paragraph" w:customStyle="1" w:styleId="BodyParagraph">
    <w:name w:val="Body Paragraph"/>
    <w:link w:val="BodyParagraphChar"/>
    <w:qFormat/>
    <w:rsid w:val="00143E9F"/>
    <w:pPr>
      <w:spacing w:after="240" w:line="264" w:lineRule="auto"/>
    </w:pPr>
  </w:style>
  <w:style w:type="paragraph" w:customStyle="1" w:styleId="BodyBeforeBullet">
    <w:name w:val="Body Before Bullet"/>
    <w:basedOn w:val="BodyParagraph"/>
    <w:next w:val="Bullets"/>
    <w:qFormat/>
    <w:rsid w:val="00143E9F"/>
    <w:pPr>
      <w:keepNext/>
      <w:spacing w:after="60"/>
    </w:pPr>
  </w:style>
  <w:style w:type="paragraph" w:customStyle="1" w:styleId="Bullets">
    <w:name w:val="Bullets"/>
    <w:basedOn w:val="Normal"/>
    <w:qFormat/>
    <w:rsid w:val="00671DF8"/>
    <w:pPr>
      <w:numPr>
        <w:numId w:val="1"/>
      </w:numPr>
      <w:spacing w:after="120" w:line="240" w:lineRule="auto"/>
    </w:pPr>
    <w:rPr>
      <w:rFonts w:eastAsia="Times New Roman" w:cs="Arial"/>
      <w:szCs w:val="21"/>
    </w:rPr>
  </w:style>
  <w:style w:type="paragraph" w:customStyle="1" w:styleId="BulletLast">
    <w:name w:val="Bullet Last"/>
    <w:basedOn w:val="Bullets"/>
    <w:next w:val="BodyParagraph"/>
    <w:qFormat/>
    <w:rsid w:val="00143E9F"/>
    <w:pPr>
      <w:spacing w:after="240"/>
    </w:pPr>
  </w:style>
  <w:style w:type="paragraph" w:styleId="FootnoteText">
    <w:name w:val="footnote text"/>
    <w:aliases w:val="Footnote Text1 Char,Footnote Text Char Ch"/>
    <w:basedOn w:val="Normal"/>
    <w:link w:val="FootnoteTextChar"/>
    <w:uiPriority w:val="99"/>
    <w:unhideWhenUsed/>
    <w:rsid w:val="00F535B2"/>
    <w:pPr>
      <w:spacing w:after="120" w:line="240" w:lineRule="auto"/>
    </w:pPr>
    <w:rPr>
      <w:rFonts w:ascii="Franklin Gothic Book" w:hAnsi="Franklin Gothic Book"/>
      <w:sz w:val="18"/>
      <w:szCs w:val="20"/>
    </w:rPr>
  </w:style>
  <w:style w:type="character" w:customStyle="1" w:styleId="FootnoteTextChar">
    <w:name w:val="Footnote Text Char"/>
    <w:aliases w:val="Footnote Text1 Char Char,Footnote Text Char Ch Char"/>
    <w:basedOn w:val="DefaultParagraphFont"/>
    <w:link w:val="FootnoteText"/>
    <w:uiPriority w:val="99"/>
    <w:rsid w:val="00F535B2"/>
    <w:rPr>
      <w:rFonts w:ascii="Franklin Gothic Book" w:hAnsi="Franklin Gothic Book"/>
      <w:sz w:val="18"/>
      <w:szCs w:val="20"/>
    </w:rPr>
  </w:style>
  <w:style w:type="character" w:styleId="FootnoteReference">
    <w:name w:val="footnote reference"/>
    <w:basedOn w:val="DefaultParagraphFont"/>
    <w:uiPriority w:val="99"/>
    <w:unhideWhenUsed/>
    <w:rsid w:val="001B352B"/>
    <w:rPr>
      <w:vertAlign w:val="superscript"/>
    </w:rPr>
  </w:style>
  <w:style w:type="paragraph" w:customStyle="1" w:styleId="Footnote">
    <w:name w:val="Footnote"/>
    <w:basedOn w:val="FootnoteText"/>
    <w:qFormat/>
    <w:rsid w:val="00F535B2"/>
  </w:style>
  <w:style w:type="paragraph" w:customStyle="1" w:styleId="TableFigureCaption">
    <w:name w:val="Table Figure Caption"/>
    <w:basedOn w:val="Normal"/>
    <w:next w:val="BodyParaAfterTableFigure"/>
    <w:qFormat/>
    <w:rsid w:val="0028429E"/>
    <w:pPr>
      <w:keepNext/>
      <w:spacing w:after="120" w:line="240" w:lineRule="auto"/>
      <w:jc w:val="center"/>
    </w:pPr>
    <w:rPr>
      <w:rFonts w:ascii="Calibri" w:hAnsi="Calibri"/>
      <w:b/>
    </w:rPr>
  </w:style>
  <w:style w:type="table" w:styleId="TableGrid">
    <w:name w:val="Table Grid"/>
    <w:basedOn w:val="TableNormal"/>
    <w:uiPriority w:val="59"/>
    <w:rsid w:val="001B352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Header">
    <w:name w:val="Table Header"/>
    <w:qFormat/>
    <w:rsid w:val="000D7B44"/>
    <w:pPr>
      <w:spacing w:before="100" w:after="100" w:line="240" w:lineRule="auto"/>
      <w:jc w:val="center"/>
    </w:pPr>
    <w:rPr>
      <w:rFonts w:ascii="Calibri" w:hAnsi="Calibri"/>
      <w:b/>
      <w:color w:val="FFFFFF" w:themeColor="background1"/>
      <w:sz w:val="20"/>
    </w:rPr>
  </w:style>
  <w:style w:type="paragraph" w:customStyle="1" w:styleId="TableText">
    <w:name w:val="Table Text"/>
    <w:qFormat/>
    <w:rsid w:val="0028429E"/>
    <w:pPr>
      <w:spacing w:before="60" w:after="60" w:line="240" w:lineRule="auto"/>
      <w:jc w:val="center"/>
    </w:pPr>
    <w:rPr>
      <w:rFonts w:ascii="Calibri" w:hAnsi="Calibri"/>
      <w:sz w:val="20"/>
    </w:rPr>
  </w:style>
  <w:style w:type="paragraph" w:customStyle="1" w:styleId="BodyParaAfterTableFigure">
    <w:name w:val="Body Para After Table Figure"/>
    <w:basedOn w:val="BodyParagraph"/>
    <w:next w:val="BodyParagraph"/>
    <w:qFormat/>
    <w:rsid w:val="00B50663"/>
    <w:pPr>
      <w:spacing w:before="360"/>
    </w:pPr>
  </w:style>
  <w:style w:type="paragraph" w:customStyle="1" w:styleId="AppendixHeading">
    <w:name w:val="Appendix Heading"/>
    <w:basedOn w:val="Heading1"/>
    <w:next w:val="BodyParagraph"/>
    <w:qFormat/>
    <w:rsid w:val="0028429E"/>
    <w:pPr>
      <w:numPr>
        <w:numId w:val="2"/>
      </w:numPr>
    </w:pPr>
  </w:style>
  <w:style w:type="character" w:customStyle="1" w:styleId="Heading4Char">
    <w:name w:val="Heading 4 Char"/>
    <w:basedOn w:val="DefaultParagraphFont"/>
    <w:link w:val="Heading4"/>
    <w:uiPriority w:val="9"/>
    <w:rsid w:val="0028429E"/>
    <w:rPr>
      <w:rFonts w:ascii="Calibri" w:eastAsiaTheme="majorEastAsia" w:hAnsi="Calibri" w:cs="Arial"/>
      <w:b/>
      <w:bCs/>
      <w:i/>
      <w:iCs/>
      <w:color w:val="1F497D"/>
      <w:sz w:val="24"/>
    </w:rPr>
  </w:style>
  <w:style w:type="character" w:customStyle="1" w:styleId="Heading5Char">
    <w:name w:val="Heading 5 Char"/>
    <w:basedOn w:val="DefaultParagraphFont"/>
    <w:link w:val="Heading5"/>
    <w:uiPriority w:val="9"/>
    <w:rsid w:val="0046277A"/>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46277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46277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46277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46277A"/>
    <w:rPr>
      <w:rFonts w:asciiTheme="majorHAnsi" w:eastAsiaTheme="majorEastAsia" w:hAnsiTheme="majorHAnsi" w:cstheme="majorBidi"/>
      <w:i/>
      <w:iCs/>
      <w:color w:val="404040" w:themeColor="text1" w:themeTint="BF"/>
      <w:sz w:val="20"/>
      <w:szCs w:val="20"/>
    </w:rPr>
  </w:style>
  <w:style w:type="paragraph" w:customStyle="1" w:styleId="AppendixHeading2">
    <w:name w:val="Appendix Heading 2"/>
    <w:basedOn w:val="Normal"/>
    <w:next w:val="BodyParagraph"/>
    <w:qFormat/>
    <w:rsid w:val="00143E9F"/>
    <w:pPr>
      <w:keepNext/>
      <w:numPr>
        <w:ilvl w:val="1"/>
        <w:numId w:val="2"/>
      </w:numPr>
      <w:spacing w:after="60" w:line="240" w:lineRule="auto"/>
      <w:ind w:left="540" w:hanging="540"/>
    </w:pPr>
    <w:rPr>
      <w:rFonts w:ascii="Calibri" w:hAnsi="Calibri"/>
      <w:b/>
      <w:color w:val="1F497D"/>
      <w:sz w:val="26"/>
    </w:rPr>
  </w:style>
  <w:style w:type="paragraph" w:customStyle="1" w:styleId="AppendixHeading3">
    <w:name w:val="Appendix Heading 3"/>
    <w:basedOn w:val="Normal"/>
    <w:next w:val="BodyParagraph"/>
    <w:qFormat/>
    <w:rsid w:val="00143E9F"/>
    <w:pPr>
      <w:numPr>
        <w:ilvl w:val="2"/>
        <w:numId w:val="2"/>
      </w:numPr>
      <w:spacing w:after="120" w:line="240" w:lineRule="auto"/>
      <w:ind w:left="720" w:hanging="720"/>
    </w:pPr>
    <w:rPr>
      <w:rFonts w:ascii="Calibri" w:hAnsi="Calibri"/>
      <w:b/>
      <w:color w:val="1F497D"/>
      <w:sz w:val="24"/>
    </w:rPr>
  </w:style>
  <w:style w:type="paragraph" w:customStyle="1" w:styleId="AppendixHeading4">
    <w:name w:val="Appendix Heading 4"/>
    <w:basedOn w:val="BodyParagraph"/>
    <w:next w:val="BodyParagraph"/>
    <w:qFormat/>
    <w:rsid w:val="0028429E"/>
    <w:pPr>
      <w:keepNext/>
      <w:spacing w:after="60" w:line="240" w:lineRule="auto"/>
      <w:ind w:firstLine="360"/>
    </w:pPr>
    <w:rPr>
      <w:b/>
      <w:i/>
      <w:color w:val="1F497D"/>
    </w:rPr>
  </w:style>
  <w:style w:type="paragraph" w:styleId="TOC4">
    <w:name w:val="toc 4"/>
    <w:basedOn w:val="Normal"/>
    <w:next w:val="Normal"/>
    <w:autoRedefine/>
    <w:uiPriority w:val="39"/>
    <w:unhideWhenUsed/>
    <w:rsid w:val="002B07E5"/>
    <w:pPr>
      <w:tabs>
        <w:tab w:val="left" w:pos="1260"/>
        <w:tab w:val="right" w:leader="dot" w:pos="8460"/>
      </w:tabs>
      <w:spacing w:after="100"/>
      <w:ind w:left="660"/>
    </w:pPr>
    <w:rPr>
      <w:rFonts w:ascii="Calibri" w:hAnsi="Calibri" w:cs="Arial"/>
      <w:noProof/>
      <w:sz w:val="20"/>
      <w:szCs w:val="24"/>
    </w:rPr>
  </w:style>
  <w:style w:type="numbering" w:customStyle="1" w:styleId="Numbered">
    <w:name w:val="Numbered"/>
    <w:basedOn w:val="NoList"/>
    <w:uiPriority w:val="99"/>
    <w:rsid w:val="00137F86"/>
    <w:pPr>
      <w:numPr>
        <w:numId w:val="4"/>
      </w:numPr>
    </w:pPr>
  </w:style>
  <w:style w:type="numbering" w:customStyle="1" w:styleId="NumberedSteps">
    <w:name w:val="Numbered Steps"/>
    <w:basedOn w:val="NoList"/>
    <w:uiPriority w:val="99"/>
    <w:rsid w:val="00137F86"/>
    <w:pPr>
      <w:numPr>
        <w:numId w:val="5"/>
      </w:numPr>
    </w:pPr>
  </w:style>
  <w:style w:type="paragraph" w:customStyle="1" w:styleId="Numbers">
    <w:name w:val="Numbers"/>
    <w:qFormat/>
    <w:rsid w:val="003D68A0"/>
    <w:pPr>
      <w:numPr>
        <w:numId w:val="6"/>
      </w:numPr>
      <w:spacing w:after="120" w:line="240" w:lineRule="auto"/>
    </w:pPr>
    <w:rPr>
      <w:rFonts w:ascii="Arial" w:eastAsia="Times New Roman" w:hAnsi="Arial" w:cs="Times New Roman"/>
      <w:sz w:val="20"/>
      <w:szCs w:val="28"/>
    </w:rPr>
  </w:style>
  <w:style w:type="paragraph" w:customStyle="1" w:styleId="NumbersLast">
    <w:name w:val="Numbers Last"/>
    <w:basedOn w:val="Numbers"/>
    <w:next w:val="BodyParagraph"/>
    <w:rsid w:val="007715BA"/>
    <w:pPr>
      <w:numPr>
        <w:numId w:val="7"/>
      </w:numPr>
      <w:spacing w:after="360"/>
    </w:pPr>
  </w:style>
  <w:style w:type="paragraph" w:customStyle="1" w:styleId="LetterDate">
    <w:name w:val="Letter Date"/>
    <w:next w:val="LetterAddressee"/>
    <w:qFormat/>
    <w:rsid w:val="00EB2941"/>
    <w:pPr>
      <w:spacing w:before="2000" w:line="240" w:lineRule="auto"/>
    </w:pPr>
    <w:rPr>
      <w:rFonts w:ascii="Arial" w:hAnsi="Arial"/>
    </w:rPr>
  </w:style>
  <w:style w:type="paragraph" w:customStyle="1" w:styleId="LetterAddressee">
    <w:name w:val="Letter Addressee"/>
    <w:next w:val="LetterSalutation"/>
    <w:qFormat/>
    <w:rsid w:val="00EB2941"/>
    <w:pPr>
      <w:spacing w:after="0" w:line="240" w:lineRule="auto"/>
    </w:pPr>
    <w:rPr>
      <w:rFonts w:ascii="Arial" w:hAnsi="Arial"/>
    </w:rPr>
  </w:style>
  <w:style w:type="paragraph" w:customStyle="1" w:styleId="LetterSalutation">
    <w:name w:val="Letter Salutation"/>
    <w:next w:val="BodyParagraph"/>
    <w:qFormat/>
    <w:rsid w:val="00EB2941"/>
    <w:pPr>
      <w:spacing w:before="400" w:line="240" w:lineRule="auto"/>
    </w:pPr>
    <w:rPr>
      <w:rFonts w:ascii="Arial" w:hAnsi="Arial"/>
    </w:rPr>
  </w:style>
  <w:style w:type="paragraph" w:customStyle="1" w:styleId="LetterClosing">
    <w:name w:val="Letter Closing"/>
    <w:qFormat/>
    <w:rsid w:val="00EB2941"/>
    <w:pPr>
      <w:spacing w:after="1000" w:line="240" w:lineRule="auto"/>
    </w:pPr>
    <w:rPr>
      <w:rFonts w:ascii="Arial" w:hAnsi="Arial"/>
    </w:rPr>
  </w:style>
  <w:style w:type="paragraph" w:customStyle="1" w:styleId="ProposalTitle">
    <w:name w:val="Proposal Title"/>
    <w:basedOn w:val="Normal"/>
    <w:qFormat/>
    <w:rsid w:val="00D53A09"/>
    <w:pPr>
      <w:tabs>
        <w:tab w:val="left" w:pos="-1440"/>
        <w:tab w:val="left" w:pos="-720"/>
      </w:tabs>
      <w:spacing w:after="0" w:line="240" w:lineRule="atLeast"/>
      <w:ind w:right="-180"/>
      <w:jc w:val="right"/>
    </w:pPr>
    <w:rPr>
      <w:rFonts w:ascii="Calibri" w:eastAsia="Times New Roman" w:hAnsi="Calibri" w:cs="Times New Roman"/>
      <w:b/>
      <w:bCs/>
      <w:color w:val="221E1F"/>
      <w:sz w:val="28"/>
      <w:szCs w:val="28"/>
    </w:rPr>
  </w:style>
  <w:style w:type="character" w:customStyle="1" w:styleId="BodyParagraphChar">
    <w:name w:val="Body Paragraph Char"/>
    <w:basedOn w:val="DefaultParagraphFont"/>
    <w:link w:val="BodyParagraph"/>
    <w:locked/>
    <w:rsid w:val="00BF594A"/>
  </w:style>
  <w:style w:type="character" w:styleId="CommentReference">
    <w:name w:val="annotation reference"/>
    <w:basedOn w:val="DefaultParagraphFont"/>
    <w:uiPriority w:val="99"/>
    <w:semiHidden/>
    <w:rsid w:val="00BF594A"/>
    <w:rPr>
      <w:sz w:val="16"/>
      <w:szCs w:val="16"/>
    </w:rPr>
  </w:style>
  <w:style w:type="paragraph" w:styleId="CommentText">
    <w:name w:val="annotation text"/>
    <w:basedOn w:val="Normal"/>
    <w:link w:val="CommentTextChar"/>
    <w:uiPriority w:val="99"/>
    <w:semiHidden/>
    <w:rsid w:val="00BF594A"/>
    <w:pPr>
      <w:spacing w:before="240" w:after="240" w:line="240" w:lineRule="auto"/>
    </w:pPr>
    <w:rPr>
      <w:rFonts w:ascii="Arial" w:eastAsia="Times New Roman" w:hAnsi="Arial" w:cs="Times New Roman"/>
      <w:spacing w:val="-2"/>
      <w:sz w:val="20"/>
      <w:szCs w:val="20"/>
    </w:rPr>
  </w:style>
  <w:style w:type="character" w:customStyle="1" w:styleId="CommentTextChar">
    <w:name w:val="Comment Text Char"/>
    <w:basedOn w:val="DefaultParagraphFont"/>
    <w:link w:val="CommentText"/>
    <w:uiPriority w:val="99"/>
    <w:semiHidden/>
    <w:rsid w:val="00BF594A"/>
    <w:rPr>
      <w:rFonts w:ascii="Arial" w:eastAsia="Times New Roman" w:hAnsi="Arial" w:cs="Times New Roman"/>
      <w:spacing w:val="-2"/>
      <w:sz w:val="20"/>
      <w:szCs w:val="20"/>
    </w:rPr>
  </w:style>
  <w:style w:type="paragraph" w:styleId="CommentSubject">
    <w:name w:val="annotation subject"/>
    <w:basedOn w:val="CommentText"/>
    <w:next w:val="CommentText"/>
    <w:link w:val="CommentSubjectChar"/>
    <w:uiPriority w:val="99"/>
    <w:semiHidden/>
    <w:unhideWhenUsed/>
    <w:rsid w:val="00BF594A"/>
    <w:pPr>
      <w:spacing w:before="0" w:after="200"/>
    </w:pPr>
    <w:rPr>
      <w:rFonts w:asciiTheme="minorHAnsi" w:eastAsiaTheme="minorHAnsi" w:hAnsiTheme="minorHAnsi" w:cstheme="minorBidi"/>
      <w:b/>
      <w:bCs/>
      <w:spacing w:val="0"/>
    </w:rPr>
  </w:style>
  <w:style w:type="character" w:customStyle="1" w:styleId="CommentSubjectChar">
    <w:name w:val="Comment Subject Char"/>
    <w:basedOn w:val="CommentTextChar"/>
    <w:link w:val="CommentSubject"/>
    <w:uiPriority w:val="99"/>
    <w:semiHidden/>
    <w:rsid w:val="00BF594A"/>
    <w:rPr>
      <w:rFonts w:ascii="Arial" w:eastAsia="Times New Roman" w:hAnsi="Arial" w:cs="Times New Roman"/>
      <w:b/>
      <w:bCs/>
      <w:spacing w:val="-2"/>
      <w:sz w:val="20"/>
      <w:szCs w:val="20"/>
    </w:rPr>
  </w:style>
  <w:style w:type="paragraph" w:styleId="Revision">
    <w:name w:val="Revision"/>
    <w:hidden/>
    <w:uiPriority w:val="99"/>
    <w:semiHidden/>
    <w:rsid w:val="00BF594A"/>
    <w:pPr>
      <w:spacing w:after="0" w:line="240" w:lineRule="auto"/>
    </w:pPr>
  </w:style>
  <w:style w:type="paragraph" w:styleId="BodyText">
    <w:name w:val="Body Text"/>
    <w:basedOn w:val="Normal"/>
    <w:link w:val="BodyTextChar"/>
    <w:uiPriority w:val="99"/>
    <w:semiHidden/>
    <w:unhideWhenUsed/>
    <w:rsid w:val="00BF594A"/>
    <w:pPr>
      <w:spacing w:after="120"/>
    </w:pPr>
  </w:style>
  <w:style w:type="character" w:customStyle="1" w:styleId="BodyTextChar">
    <w:name w:val="Body Text Char"/>
    <w:basedOn w:val="DefaultParagraphFont"/>
    <w:link w:val="BodyText"/>
    <w:uiPriority w:val="99"/>
    <w:semiHidden/>
    <w:rsid w:val="00BF594A"/>
    <w:rPr>
      <w:rFonts w:eastAsiaTheme="minorEastAsia"/>
    </w:rPr>
  </w:style>
  <w:style w:type="paragraph" w:styleId="EndnoteText">
    <w:name w:val="endnote text"/>
    <w:basedOn w:val="Normal"/>
    <w:link w:val="EndnoteTextChar"/>
    <w:uiPriority w:val="99"/>
    <w:semiHidden/>
    <w:unhideWhenUsed/>
    <w:rsid w:val="00BF594A"/>
    <w:pPr>
      <w:spacing w:after="0" w:line="240" w:lineRule="auto"/>
    </w:pPr>
    <w:rPr>
      <w:sz w:val="20"/>
      <w:szCs w:val="20"/>
    </w:rPr>
  </w:style>
  <w:style w:type="character" w:customStyle="1" w:styleId="EndnoteTextChar">
    <w:name w:val="Endnote Text Char"/>
    <w:basedOn w:val="DefaultParagraphFont"/>
    <w:link w:val="EndnoteText"/>
    <w:uiPriority w:val="99"/>
    <w:semiHidden/>
    <w:rsid w:val="00BF594A"/>
    <w:rPr>
      <w:rFonts w:eastAsiaTheme="minorEastAsia"/>
      <w:sz w:val="20"/>
      <w:szCs w:val="20"/>
    </w:rPr>
  </w:style>
  <w:style w:type="character" w:styleId="EndnoteReference">
    <w:name w:val="endnote reference"/>
    <w:basedOn w:val="DefaultParagraphFont"/>
    <w:uiPriority w:val="99"/>
    <w:semiHidden/>
    <w:unhideWhenUsed/>
    <w:rsid w:val="00BF594A"/>
    <w:rPr>
      <w:vertAlign w:val="superscript"/>
    </w:rPr>
  </w:style>
  <w:style w:type="paragraph" w:styleId="PlainText">
    <w:name w:val="Plain Text"/>
    <w:basedOn w:val="Normal"/>
    <w:link w:val="PlainTextChar"/>
    <w:uiPriority w:val="99"/>
    <w:semiHidden/>
    <w:unhideWhenUsed/>
    <w:rsid w:val="00BF594A"/>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BF594A"/>
    <w:rPr>
      <w:rFonts w:ascii="Consolas" w:eastAsiaTheme="minorEastAsia" w:hAnsi="Consolas" w:cs="Consolas"/>
      <w:sz w:val="21"/>
      <w:szCs w:val="21"/>
    </w:rPr>
  </w:style>
  <w:style w:type="paragraph" w:styleId="ListParagraph">
    <w:name w:val="List Paragraph"/>
    <w:basedOn w:val="Normal"/>
    <w:uiPriority w:val="34"/>
    <w:qFormat/>
    <w:rsid w:val="00C72B6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next w:val="BodyParagraph"/>
    <w:link w:val="Heading1Char"/>
    <w:qFormat/>
    <w:rsid w:val="00143E9F"/>
    <w:pPr>
      <w:keepNext/>
      <w:numPr>
        <w:numId w:val="3"/>
      </w:numPr>
      <w:spacing w:after="120" w:line="240" w:lineRule="auto"/>
      <w:ind w:left="360" w:hanging="360"/>
      <w:outlineLvl w:val="0"/>
    </w:pPr>
    <w:rPr>
      <w:rFonts w:eastAsia="Times New Roman" w:cs="Times New Roman"/>
      <w:b/>
      <w:color w:val="1F497D"/>
      <w:sz w:val="28"/>
      <w:szCs w:val="28"/>
    </w:rPr>
  </w:style>
  <w:style w:type="paragraph" w:styleId="Heading2">
    <w:name w:val="heading 2"/>
    <w:basedOn w:val="Heading1"/>
    <w:next w:val="BodyParagraph"/>
    <w:link w:val="Heading2Char"/>
    <w:uiPriority w:val="9"/>
    <w:unhideWhenUsed/>
    <w:qFormat/>
    <w:rsid w:val="00143E9F"/>
    <w:pPr>
      <w:numPr>
        <w:ilvl w:val="1"/>
      </w:numPr>
      <w:ind w:left="540" w:hanging="540"/>
      <w:outlineLvl w:val="1"/>
    </w:pPr>
    <w:rPr>
      <w:rFonts w:eastAsiaTheme="majorEastAsia" w:cstheme="majorBidi"/>
      <w:bCs/>
      <w:sz w:val="26"/>
      <w:szCs w:val="26"/>
    </w:rPr>
  </w:style>
  <w:style w:type="paragraph" w:styleId="Heading3">
    <w:name w:val="heading 3"/>
    <w:basedOn w:val="Heading2"/>
    <w:next w:val="BodyParagraph"/>
    <w:link w:val="Heading3Char"/>
    <w:uiPriority w:val="9"/>
    <w:unhideWhenUsed/>
    <w:qFormat/>
    <w:rsid w:val="00143E9F"/>
    <w:pPr>
      <w:keepLines/>
      <w:numPr>
        <w:ilvl w:val="2"/>
      </w:numPr>
      <w:ind w:left="1080"/>
      <w:outlineLvl w:val="2"/>
    </w:pPr>
    <w:rPr>
      <w:bCs w:val="0"/>
    </w:rPr>
  </w:style>
  <w:style w:type="paragraph" w:styleId="Heading4">
    <w:name w:val="heading 4"/>
    <w:basedOn w:val="Normal"/>
    <w:next w:val="BodyParagraph"/>
    <w:link w:val="Heading4Char"/>
    <w:uiPriority w:val="9"/>
    <w:unhideWhenUsed/>
    <w:qFormat/>
    <w:rsid w:val="0028429E"/>
    <w:pPr>
      <w:keepNext/>
      <w:keepLines/>
      <w:spacing w:before="200" w:after="0"/>
      <w:ind w:left="360"/>
      <w:outlineLvl w:val="3"/>
    </w:pPr>
    <w:rPr>
      <w:rFonts w:ascii="Calibri" w:eastAsiaTheme="majorEastAsia" w:hAnsi="Calibri" w:cs="Arial"/>
      <w:b/>
      <w:bCs/>
      <w:i/>
      <w:iCs/>
      <w:color w:val="1F497D"/>
      <w:sz w:val="24"/>
    </w:rPr>
  </w:style>
  <w:style w:type="paragraph" w:styleId="Heading5">
    <w:name w:val="heading 5"/>
    <w:basedOn w:val="Normal"/>
    <w:next w:val="Normal"/>
    <w:link w:val="Heading5Char"/>
    <w:uiPriority w:val="9"/>
    <w:unhideWhenUsed/>
    <w:qFormat/>
    <w:rsid w:val="0046277A"/>
    <w:pPr>
      <w:keepNext/>
      <w:keepLines/>
      <w:numPr>
        <w:ilvl w:val="4"/>
        <w:numId w:val="3"/>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46277A"/>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46277A"/>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46277A"/>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46277A"/>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A6B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A6B02"/>
    <w:rPr>
      <w:rFonts w:ascii="Tahoma" w:hAnsi="Tahoma" w:cs="Tahoma"/>
      <w:sz w:val="16"/>
      <w:szCs w:val="16"/>
    </w:rPr>
  </w:style>
  <w:style w:type="paragraph" w:customStyle="1" w:styleId="TitleHeader">
    <w:name w:val="Title Header"/>
    <w:qFormat/>
    <w:rsid w:val="002A6B02"/>
    <w:pPr>
      <w:spacing w:after="120" w:line="240" w:lineRule="auto"/>
    </w:pPr>
    <w:rPr>
      <w:rFonts w:ascii="Arial" w:eastAsia="Times New Roman" w:hAnsi="Arial" w:cs="Arial"/>
      <w:b/>
      <w:i/>
      <w:color w:val="FFFFFF"/>
      <w:sz w:val="24"/>
      <w:szCs w:val="24"/>
    </w:rPr>
  </w:style>
  <w:style w:type="paragraph" w:customStyle="1" w:styleId="TitleProposal">
    <w:name w:val="Title Proposal"/>
    <w:qFormat/>
    <w:rsid w:val="00F535B2"/>
    <w:pPr>
      <w:spacing w:after="400" w:line="240" w:lineRule="auto"/>
    </w:pPr>
    <w:rPr>
      <w:rFonts w:ascii="Verdana" w:eastAsia="Times New Roman" w:hAnsi="Verdana" w:cs="Arial"/>
      <w:b/>
      <w:color w:val="FFFFFF"/>
      <w:sz w:val="28"/>
      <w:szCs w:val="28"/>
    </w:rPr>
  </w:style>
  <w:style w:type="paragraph" w:customStyle="1" w:styleId="TitleAddress">
    <w:name w:val="Title Address"/>
    <w:qFormat/>
    <w:rsid w:val="00F535B2"/>
    <w:pPr>
      <w:tabs>
        <w:tab w:val="left" w:pos="3960"/>
      </w:tabs>
      <w:spacing w:after="400" w:line="240" w:lineRule="auto"/>
    </w:pPr>
    <w:rPr>
      <w:rFonts w:ascii="Verdana" w:eastAsia="Times New Roman" w:hAnsi="Verdana" w:cs="Arial"/>
      <w:b/>
      <w:color w:val="FFFFFF"/>
    </w:rPr>
  </w:style>
  <w:style w:type="paragraph" w:styleId="Footer">
    <w:name w:val="footer"/>
    <w:basedOn w:val="Normal"/>
    <w:link w:val="FooterChar"/>
    <w:uiPriority w:val="99"/>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FooterChar">
    <w:name w:val="Footer Char"/>
    <w:basedOn w:val="DefaultParagraphFont"/>
    <w:link w:val="Footer"/>
    <w:uiPriority w:val="99"/>
    <w:rsid w:val="002A6B02"/>
    <w:rPr>
      <w:rFonts w:ascii="Arial" w:eastAsia="Times New Roman" w:hAnsi="Arial" w:cs="Times New Roman"/>
      <w:szCs w:val="24"/>
    </w:rPr>
  </w:style>
  <w:style w:type="character" w:styleId="PageNumber">
    <w:name w:val="page number"/>
    <w:basedOn w:val="DefaultParagraphFont"/>
    <w:rsid w:val="002A6B02"/>
  </w:style>
  <w:style w:type="paragraph" w:styleId="Header">
    <w:name w:val="header"/>
    <w:basedOn w:val="Normal"/>
    <w:link w:val="HeaderChar"/>
    <w:rsid w:val="000357CA"/>
    <w:pPr>
      <w:pBdr>
        <w:bottom w:val="dotted" w:sz="4" w:space="1" w:color="1F497D"/>
      </w:pBdr>
      <w:tabs>
        <w:tab w:val="center" w:pos="4320"/>
        <w:tab w:val="right" w:pos="8640"/>
      </w:tabs>
      <w:spacing w:after="0" w:line="240" w:lineRule="auto"/>
    </w:pPr>
    <w:rPr>
      <w:rFonts w:ascii="Arial" w:eastAsia="Times New Roman" w:hAnsi="Arial" w:cs="Times New Roman"/>
      <w:szCs w:val="24"/>
    </w:rPr>
  </w:style>
  <w:style w:type="character" w:customStyle="1" w:styleId="HeaderChar">
    <w:name w:val="Header Char"/>
    <w:basedOn w:val="DefaultParagraphFont"/>
    <w:link w:val="Header"/>
    <w:rsid w:val="000357CA"/>
    <w:rPr>
      <w:rFonts w:ascii="Arial" w:eastAsia="Times New Roman" w:hAnsi="Arial" w:cs="Times New Roman"/>
      <w:szCs w:val="24"/>
    </w:rPr>
  </w:style>
  <w:style w:type="paragraph" w:customStyle="1" w:styleId="PreparedFor">
    <w:name w:val="Prepared For"/>
    <w:rsid w:val="00F535B2"/>
    <w:pPr>
      <w:spacing w:before="400" w:after="120" w:line="240" w:lineRule="auto"/>
      <w:jc w:val="right"/>
    </w:pPr>
    <w:rPr>
      <w:rFonts w:ascii="Verdana" w:eastAsia="Times New Roman" w:hAnsi="Verdana" w:cs="Times New Roman"/>
      <w:i/>
      <w:szCs w:val="20"/>
    </w:rPr>
  </w:style>
  <w:style w:type="paragraph" w:customStyle="1" w:styleId="PreparedForCompany">
    <w:name w:val="Prepared For Company"/>
    <w:basedOn w:val="Normal"/>
    <w:qFormat/>
    <w:rsid w:val="00F535B2"/>
    <w:pPr>
      <w:spacing w:after="0" w:line="240" w:lineRule="auto"/>
      <w:jc w:val="right"/>
    </w:pPr>
    <w:rPr>
      <w:rFonts w:ascii="Verdana" w:eastAsia="Times New Roman" w:hAnsi="Verdana" w:cs="Times New Roman"/>
      <w:szCs w:val="24"/>
    </w:rPr>
  </w:style>
  <w:style w:type="character" w:customStyle="1" w:styleId="Heading1Char">
    <w:name w:val="Heading 1 Char"/>
    <w:basedOn w:val="DefaultParagraphFont"/>
    <w:link w:val="Heading1"/>
    <w:rsid w:val="00143E9F"/>
    <w:rPr>
      <w:rFonts w:eastAsia="Times New Roman" w:cs="Times New Roman"/>
      <w:b/>
      <w:color w:val="1F497D"/>
      <w:sz w:val="28"/>
      <w:szCs w:val="28"/>
    </w:rPr>
  </w:style>
  <w:style w:type="paragraph" w:styleId="TOCHeading">
    <w:name w:val="TOC Heading"/>
    <w:basedOn w:val="Heading1"/>
    <w:next w:val="Normal"/>
    <w:uiPriority w:val="39"/>
    <w:unhideWhenUsed/>
    <w:qFormat/>
    <w:rsid w:val="00F179F1"/>
    <w:pPr>
      <w:spacing w:before="480" w:after="0" w:line="276" w:lineRule="auto"/>
      <w:outlineLvl w:val="9"/>
    </w:pPr>
    <w:rPr>
      <w:rFonts w:asciiTheme="majorHAnsi" w:hAnsiTheme="majorHAnsi"/>
      <w:color w:val="365F91" w:themeColor="accent1" w:themeShade="BF"/>
    </w:rPr>
  </w:style>
  <w:style w:type="paragraph" w:styleId="TOC1">
    <w:name w:val="toc 1"/>
    <w:basedOn w:val="Normal"/>
    <w:next w:val="Normal"/>
    <w:autoRedefine/>
    <w:uiPriority w:val="39"/>
    <w:unhideWhenUsed/>
    <w:rsid w:val="00DE2A98"/>
    <w:pPr>
      <w:tabs>
        <w:tab w:val="left" w:pos="360"/>
        <w:tab w:val="left" w:pos="1170"/>
        <w:tab w:val="right" w:leader="dot" w:pos="8460"/>
      </w:tabs>
      <w:spacing w:after="100"/>
    </w:pPr>
    <w:rPr>
      <w:noProof/>
      <w:sz w:val="20"/>
    </w:rPr>
  </w:style>
  <w:style w:type="character" w:styleId="Hyperlink">
    <w:name w:val="Hyperlink"/>
    <w:basedOn w:val="DefaultParagraphFont"/>
    <w:uiPriority w:val="99"/>
    <w:unhideWhenUsed/>
    <w:rsid w:val="00CC0C48"/>
    <w:rPr>
      <w:color w:val="0000FF" w:themeColor="hyperlink"/>
    </w:rPr>
  </w:style>
  <w:style w:type="paragraph" w:customStyle="1" w:styleId="TableofContents">
    <w:name w:val="Table of Contents"/>
    <w:qFormat/>
    <w:rsid w:val="00B5598C"/>
    <w:pPr>
      <w:ind w:left="720"/>
    </w:pPr>
    <w:rPr>
      <w:rFonts w:eastAsia="Times New Roman" w:cs="Times New Roman"/>
      <w:b/>
      <w:color w:val="1F497D"/>
      <w:sz w:val="32"/>
      <w:szCs w:val="24"/>
    </w:rPr>
  </w:style>
  <w:style w:type="character" w:customStyle="1" w:styleId="Heading2Char">
    <w:name w:val="Heading 2 Char"/>
    <w:basedOn w:val="DefaultParagraphFont"/>
    <w:link w:val="Heading2"/>
    <w:uiPriority w:val="9"/>
    <w:rsid w:val="00143E9F"/>
    <w:rPr>
      <w:rFonts w:eastAsiaTheme="majorEastAsia" w:cstheme="majorBidi"/>
      <w:b/>
      <w:bCs/>
      <w:color w:val="1F497D"/>
      <w:sz w:val="26"/>
      <w:szCs w:val="26"/>
    </w:rPr>
  </w:style>
  <w:style w:type="paragraph" w:styleId="TOC2">
    <w:name w:val="toc 2"/>
    <w:basedOn w:val="Normal"/>
    <w:next w:val="Normal"/>
    <w:autoRedefine/>
    <w:uiPriority w:val="39"/>
    <w:unhideWhenUsed/>
    <w:rsid w:val="00E8660E"/>
    <w:pPr>
      <w:tabs>
        <w:tab w:val="left" w:pos="630"/>
        <w:tab w:val="right" w:leader="dot" w:pos="8460"/>
      </w:tabs>
      <w:spacing w:after="100"/>
      <w:ind w:left="180"/>
    </w:pPr>
    <w:rPr>
      <w:noProof/>
      <w:sz w:val="20"/>
    </w:rPr>
  </w:style>
  <w:style w:type="character" w:customStyle="1" w:styleId="Heading3Char">
    <w:name w:val="Heading 3 Char"/>
    <w:basedOn w:val="DefaultParagraphFont"/>
    <w:link w:val="Heading3"/>
    <w:uiPriority w:val="9"/>
    <w:rsid w:val="00143E9F"/>
    <w:rPr>
      <w:rFonts w:eastAsiaTheme="majorEastAsia" w:cstheme="majorBidi"/>
      <w:b/>
      <w:color w:val="1F497D"/>
      <w:sz w:val="26"/>
      <w:szCs w:val="26"/>
    </w:rPr>
  </w:style>
  <w:style w:type="paragraph" w:styleId="TOC3">
    <w:name w:val="toc 3"/>
    <w:basedOn w:val="Normal"/>
    <w:next w:val="Normal"/>
    <w:autoRedefine/>
    <w:uiPriority w:val="39"/>
    <w:unhideWhenUsed/>
    <w:rsid w:val="00F86A7D"/>
    <w:pPr>
      <w:tabs>
        <w:tab w:val="left" w:pos="900"/>
        <w:tab w:val="right" w:leader="dot" w:pos="8460"/>
      </w:tabs>
      <w:spacing w:after="100"/>
      <w:ind w:left="360"/>
    </w:pPr>
    <w:rPr>
      <w:rFonts w:ascii="Calibri" w:hAnsi="Calibri" w:cs="Arial"/>
      <w:noProof/>
      <w:sz w:val="20"/>
      <w:szCs w:val="24"/>
    </w:rPr>
  </w:style>
  <w:style w:type="paragraph" w:customStyle="1" w:styleId="BodyParagraph">
    <w:name w:val="Body Paragraph"/>
    <w:link w:val="BodyParagraphChar"/>
    <w:qFormat/>
    <w:rsid w:val="00143E9F"/>
    <w:pPr>
      <w:spacing w:after="240" w:line="264" w:lineRule="auto"/>
    </w:pPr>
  </w:style>
  <w:style w:type="paragraph" w:customStyle="1" w:styleId="BodyBeforeBullet">
    <w:name w:val="Body Before Bullet"/>
    <w:basedOn w:val="BodyParagraph"/>
    <w:next w:val="Bullets"/>
    <w:qFormat/>
    <w:rsid w:val="00143E9F"/>
    <w:pPr>
      <w:keepNext/>
      <w:spacing w:after="60"/>
    </w:pPr>
  </w:style>
  <w:style w:type="paragraph" w:customStyle="1" w:styleId="Bullets">
    <w:name w:val="Bullets"/>
    <w:basedOn w:val="Normal"/>
    <w:qFormat/>
    <w:rsid w:val="00671DF8"/>
    <w:pPr>
      <w:numPr>
        <w:numId w:val="1"/>
      </w:numPr>
      <w:spacing w:after="120" w:line="240" w:lineRule="auto"/>
    </w:pPr>
    <w:rPr>
      <w:rFonts w:eastAsia="Times New Roman" w:cs="Arial"/>
      <w:szCs w:val="21"/>
    </w:rPr>
  </w:style>
  <w:style w:type="paragraph" w:customStyle="1" w:styleId="BulletLast">
    <w:name w:val="Bullet Last"/>
    <w:basedOn w:val="Bullets"/>
    <w:next w:val="BodyParagraph"/>
    <w:qFormat/>
    <w:rsid w:val="00143E9F"/>
    <w:pPr>
      <w:spacing w:after="240"/>
    </w:pPr>
  </w:style>
  <w:style w:type="paragraph" w:styleId="FootnoteText">
    <w:name w:val="footnote text"/>
    <w:aliases w:val="Footnote Text1 Char,Footnote Text Char Ch"/>
    <w:basedOn w:val="Normal"/>
    <w:link w:val="FootnoteTextChar"/>
    <w:uiPriority w:val="99"/>
    <w:unhideWhenUsed/>
    <w:rsid w:val="00F535B2"/>
    <w:pPr>
      <w:spacing w:after="120" w:line="240" w:lineRule="auto"/>
    </w:pPr>
    <w:rPr>
      <w:rFonts w:ascii="Franklin Gothic Book" w:hAnsi="Franklin Gothic Book"/>
      <w:sz w:val="18"/>
      <w:szCs w:val="20"/>
    </w:rPr>
  </w:style>
  <w:style w:type="character" w:customStyle="1" w:styleId="FootnoteTextChar">
    <w:name w:val="Footnote Text Char"/>
    <w:aliases w:val="Footnote Text1 Char Char,Footnote Text Char Ch Char"/>
    <w:basedOn w:val="DefaultParagraphFont"/>
    <w:link w:val="FootnoteText"/>
    <w:uiPriority w:val="99"/>
    <w:rsid w:val="00F535B2"/>
    <w:rPr>
      <w:rFonts w:ascii="Franklin Gothic Book" w:hAnsi="Franklin Gothic Book"/>
      <w:sz w:val="18"/>
      <w:szCs w:val="20"/>
    </w:rPr>
  </w:style>
  <w:style w:type="character" w:styleId="FootnoteReference">
    <w:name w:val="footnote reference"/>
    <w:basedOn w:val="DefaultParagraphFont"/>
    <w:uiPriority w:val="99"/>
    <w:unhideWhenUsed/>
    <w:rsid w:val="001B352B"/>
    <w:rPr>
      <w:vertAlign w:val="superscript"/>
    </w:rPr>
  </w:style>
  <w:style w:type="paragraph" w:customStyle="1" w:styleId="Footnote">
    <w:name w:val="Footnote"/>
    <w:basedOn w:val="FootnoteText"/>
    <w:qFormat/>
    <w:rsid w:val="00F535B2"/>
  </w:style>
  <w:style w:type="paragraph" w:customStyle="1" w:styleId="TableFigureCaption">
    <w:name w:val="Table Figure Caption"/>
    <w:basedOn w:val="Normal"/>
    <w:next w:val="BodyParaAfterTableFigure"/>
    <w:qFormat/>
    <w:rsid w:val="0028429E"/>
    <w:pPr>
      <w:keepNext/>
      <w:spacing w:after="120" w:line="240" w:lineRule="auto"/>
      <w:jc w:val="center"/>
    </w:pPr>
    <w:rPr>
      <w:rFonts w:ascii="Calibri" w:hAnsi="Calibri"/>
      <w:b/>
    </w:rPr>
  </w:style>
  <w:style w:type="table" w:styleId="TableGrid">
    <w:name w:val="Table Grid"/>
    <w:basedOn w:val="TableNormal"/>
    <w:uiPriority w:val="59"/>
    <w:rsid w:val="001B352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Header">
    <w:name w:val="Table Header"/>
    <w:qFormat/>
    <w:rsid w:val="000D7B44"/>
    <w:pPr>
      <w:spacing w:before="100" w:after="100" w:line="240" w:lineRule="auto"/>
      <w:jc w:val="center"/>
    </w:pPr>
    <w:rPr>
      <w:rFonts w:ascii="Calibri" w:hAnsi="Calibri"/>
      <w:b/>
      <w:color w:val="FFFFFF" w:themeColor="background1"/>
      <w:sz w:val="20"/>
    </w:rPr>
  </w:style>
  <w:style w:type="paragraph" w:customStyle="1" w:styleId="TableText">
    <w:name w:val="Table Text"/>
    <w:qFormat/>
    <w:rsid w:val="0028429E"/>
    <w:pPr>
      <w:spacing w:before="60" w:after="60" w:line="240" w:lineRule="auto"/>
      <w:jc w:val="center"/>
    </w:pPr>
    <w:rPr>
      <w:rFonts w:ascii="Calibri" w:hAnsi="Calibri"/>
      <w:sz w:val="20"/>
    </w:rPr>
  </w:style>
  <w:style w:type="paragraph" w:customStyle="1" w:styleId="BodyParaAfterTableFigure">
    <w:name w:val="Body Para After Table Figure"/>
    <w:basedOn w:val="BodyParagraph"/>
    <w:next w:val="BodyParagraph"/>
    <w:qFormat/>
    <w:rsid w:val="00B50663"/>
    <w:pPr>
      <w:spacing w:before="360"/>
    </w:pPr>
  </w:style>
  <w:style w:type="paragraph" w:customStyle="1" w:styleId="AppendixHeading">
    <w:name w:val="Appendix Heading"/>
    <w:basedOn w:val="Heading1"/>
    <w:next w:val="BodyParagraph"/>
    <w:qFormat/>
    <w:rsid w:val="0028429E"/>
    <w:pPr>
      <w:numPr>
        <w:numId w:val="2"/>
      </w:numPr>
    </w:pPr>
  </w:style>
  <w:style w:type="character" w:customStyle="1" w:styleId="Heading4Char">
    <w:name w:val="Heading 4 Char"/>
    <w:basedOn w:val="DefaultParagraphFont"/>
    <w:link w:val="Heading4"/>
    <w:uiPriority w:val="9"/>
    <w:rsid w:val="0028429E"/>
    <w:rPr>
      <w:rFonts w:ascii="Calibri" w:eastAsiaTheme="majorEastAsia" w:hAnsi="Calibri" w:cs="Arial"/>
      <w:b/>
      <w:bCs/>
      <w:i/>
      <w:iCs/>
      <w:color w:val="1F497D"/>
      <w:sz w:val="24"/>
    </w:rPr>
  </w:style>
  <w:style w:type="character" w:customStyle="1" w:styleId="Heading5Char">
    <w:name w:val="Heading 5 Char"/>
    <w:basedOn w:val="DefaultParagraphFont"/>
    <w:link w:val="Heading5"/>
    <w:uiPriority w:val="9"/>
    <w:rsid w:val="0046277A"/>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46277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46277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46277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46277A"/>
    <w:rPr>
      <w:rFonts w:asciiTheme="majorHAnsi" w:eastAsiaTheme="majorEastAsia" w:hAnsiTheme="majorHAnsi" w:cstheme="majorBidi"/>
      <w:i/>
      <w:iCs/>
      <w:color w:val="404040" w:themeColor="text1" w:themeTint="BF"/>
      <w:sz w:val="20"/>
      <w:szCs w:val="20"/>
    </w:rPr>
  </w:style>
  <w:style w:type="paragraph" w:customStyle="1" w:styleId="AppendixHeading2">
    <w:name w:val="Appendix Heading 2"/>
    <w:basedOn w:val="Normal"/>
    <w:next w:val="BodyParagraph"/>
    <w:qFormat/>
    <w:rsid w:val="00143E9F"/>
    <w:pPr>
      <w:keepNext/>
      <w:numPr>
        <w:ilvl w:val="1"/>
        <w:numId w:val="2"/>
      </w:numPr>
      <w:spacing w:after="60" w:line="240" w:lineRule="auto"/>
      <w:ind w:left="540" w:hanging="540"/>
    </w:pPr>
    <w:rPr>
      <w:rFonts w:ascii="Calibri" w:hAnsi="Calibri"/>
      <w:b/>
      <w:color w:val="1F497D"/>
      <w:sz w:val="26"/>
    </w:rPr>
  </w:style>
  <w:style w:type="paragraph" w:customStyle="1" w:styleId="AppendixHeading3">
    <w:name w:val="Appendix Heading 3"/>
    <w:basedOn w:val="Normal"/>
    <w:next w:val="BodyParagraph"/>
    <w:qFormat/>
    <w:rsid w:val="00143E9F"/>
    <w:pPr>
      <w:numPr>
        <w:ilvl w:val="2"/>
        <w:numId w:val="2"/>
      </w:numPr>
      <w:spacing w:after="120" w:line="240" w:lineRule="auto"/>
      <w:ind w:left="720" w:hanging="720"/>
    </w:pPr>
    <w:rPr>
      <w:rFonts w:ascii="Calibri" w:hAnsi="Calibri"/>
      <w:b/>
      <w:color w:val="1F497D"/>
      <w:sz w:val="24"/>
    </w:rPr>
  </w:style>
  <w:style w:type="paragraph" w:customStyle="1" w:styleId="AppendixHeading4">
    <w:name w:val="Appendix Heading 4"/>
    <w:basedOn w:val="BodyParagraph"/>
    <w:next w:val="BodyParagraph"/>
    <w:qFormat/>
    <w:rsid w:val="0028429E"/>
    <w:pPr>
      <w:keepNext/>
      <w:spacing w:after="60" w:line="240" w:lineRule="auto"/>
      <w:ind w:firstLine="360"/>
    </w:pPr>
    <w:rPr>
      <w:b/>
      <w:i/>
      <w:color w:val="1F497D"/>
    </w:rPr>
  </w:style>
  <w:style w:type="paragraph" w:styleId="TOC4">
    <w:name w:val="toc 4"/>
    <w:basedOn w:val="Normal"/>
    <w:next w:val="Normal"/>
    <w:autoRedefine/>
    <w:uiPriority w:val="39"/>
    <w:unhideWhenUsed/>
    <w:rsid w:val="002B07E5"/>
    <w:pPr>
      <w:tabs>
        <w:tab w:val="left" w:pos="1260"/>
        <w:tab w:val="right" w:leader="dot" w:pos="8460"/>
      </w:tabs>
      <w:spacing w:after="100"/>
      <w:ind w:left="660"/>
    </w:pPr>
    <w:rPr>
      <w:rFonts w:ascii="Calibri" w:hAnsi="Calibri" w:cs="Arial"/>
      <w:noProof/>
      <w:sz w:val="20"/>
      <w:szCs w:val="24"/>
    </w:rPr>
  </w:style>
  <w:style w:type="numbering" w:customStyle="1" w:styleId="Numbered">
    <w:name w:val="Numbered"/>
    <w:basedOn w:val="NoList"/>
    <w:uiPriority w:val="99"/>
    <w:rsid w:val="00137F86"/>
    <w:pPr>
      <w:numPr>
        <w:numId w:val="4"/>
      </w:numPr>
    </w:pPr>
  </w:style>
  <w:style w:type="numbering" w:customStyle="1" w:styleId="NumberedSteps">
    <w:name w:val="Numbered Steps"/>
    <w:basedOn w:val="NoList"/>
    <w:uiPriority w:val="99"/>
    <w:rsid w:val="00137F86"/>
    <w:pPr>
      <w:numPr>
        <w:numId w:val="5"/>
      </w:numPr>
    </w:pPr>
  </w:style>
  <w:style w:type="paragraph" w:customStyle="1" w:styleId="Numbers">
    <w:name w:val="Numbers"/>
    <w:qFormat/>
    <w:rsid w:val="003D68A0"/>
    <w:pPr>
      <w:numPr>
        <w:numId w:val="6"/>
      </w:numPr>
      <w:spacing w:after="120" w:line="240" w:lineRule="auto"/>
    </w:pPr>
    <w:rPr>
      <w:rFonts w:ascii="Arial" w:eastAsia="Times New Roman" w:hAnsi="Arial" w:cs="Times New Roman"/>
      <w:sz w:val="20"/>
      <w:szCs w:val="28"/>
    </w:rPr>
  </w:style>
  <w:style w:type="paragraph" w:customStyle="1" w:styleId="NumbersLast">
    <w:name w:val="Numbers Last"/>
    <w:basedOn w:val="Numbers"/>
    <w:next w:val="BodyParagraph"/>
    <w:rsid w:val="007715BA"/>
    <w:pPr>
      <w:numPr>
        <w:numId w:val="7"/>
      </w:numPr>
      <w:spacing w:after="360"/>
    </w:pPr>
  </w:style>
  <w:style w:type="paragraph" w:customStyle="1" w:styleId="LetterDate">
    <w:name w:val="Letter Date"/>
    <w:next w:val="LetterAddressee"/>
    <w:qFormat/>
    <w:rsid w:val="00EB2941"/>
    <w:pPr>
      <w:spacing w:before="2000" w:line="240" w:lineRule="auto"/>
    </w:pPr>
    <w:rPr>
      <w:rFonts w:ascii="Arial" w:hAnsi="Arial"/>
    </w:rPr>
  </w:style>
  <w:style w:type="paragraph" w:customStyle="1" w:styleId="LetterAddressee">
    <w:name w:val="Letter Addressee"/>
    <w:next w:val="LetterSalutation"/>
    <w:qFormat/>
    <w:rsid w:val="00EB2941"/>
    <w:pPr>
      <w:spacing w:after="0" w:line="240" w:lineRule="auto"/>
    </w:pPr>
    <w:rPr>
      <w:rFonts w:ascii="Arial" w:hAnsi="Arial"/>
    </w:rPr>
  </w:style>
  <w:style w:type="paragraph" w:customStyle="1" w:styleId="LetterSalutation">
    <w:name w:val="Letter Salutation"/>
    <w:next w:val="BodyParagraph"/>
    <w:qFormat/>
    <w:rsid w:val="00EB2941"/>
    <w:pPr>
      <w:spacing w:before="400" w:line="240" w:lineRule="auto"/>
    </w:pPr>
    <w:rPr>
      <w:rFonts w:ascii="Arial" w:hAnsi="Arial"/>
    </w:rPr>
  </w:style>
  <w:style w:type="paragraph" w:customStyle="1" w:styleId="LetterClosing">
    <w:name w:val="Letter Closing"/>
    <w:qFormat/>
    <w:rsid w:val="00EB2941"/>
    <w:pPr>
      <w:spacing w:after="1000" w:line="240" w:lineRule="auto"/>
    </w:pPr>
    <w:rPr>
      <w:rFonts w:ascii="Arial" w:hAnsi="Arial"/>
    </w:rPr>
  </w:style>
  <w:style w:type="paragraph" w:customStyle="1" w:styleId="ProposalTitle">
    <w:name w:val="Proposal Title"/>
    <w:basedOn w:val="Normal"/>
    <w:qFormat/>
    <w:rsid w:val="00D53A09"/>
    <w:pPr>
      <w:tabs>
        <w:tab w:val="left" w:pos="-1440"/>
        <w:tab w:val="left" w:pos="-720"/>
      </w:tabs>
      <w:spacing w:after="0" w:line="240" w:lineRule="atLeast"/>
      <w:ind w:right="-180"/>
      <w:jc w:val="right"/>
    </w:pPr>
    <w:rPr>
      <w:rFonts w:ascii="Calibri" w:eastAsia="Times New Roman" w:hAnsi="Calibri" w:cs="Times New Roman"/>
      <w:b/>
      <w:bCs/>
      <w:color w:val="221E1F"/>
      <w:sz w:val="28"/>
      <w:szCs w:val="28"/>
    </w:rPr>
  </w:style>
  <w:style w:type="character" w:customStyle="1" w:styleId="BodyParagraphChar">
    <w:name w:val="Body Paragraph Char"/>
    <w:basedOn w:val="DefaultParagraphFont"/>
    <w:link w:val="BodyParagraph"/>
    <w:locked/>
    <w:rsid w:val="00BF594A"/>
  </w:style>
  <w:style w:type="character" w:styleId="CommentReference">
    <w:name w:val="annotation reference"/>
    <w:basedOn w:val="DefaultParagraphFont"/>
    <w:uiPriority w:val="99"/>
    <w:semiHidden/>
    <w:rsid w:val="00BF594A"/>
    <w:rPr>
      <w:sz w:val="16"/>
      <w:szCs w:val="16"/>
    </w:rPr>
  </w:style>
  <w:style w:type="paragraph" w:styleId="CommentText">
    <w:name w:val="annotation text"/>
    <w:basedOn w:val="Normal"/>
    <w:link w:val="CommentTextChar"/>
    <w:uiPriority w:val="99"/>
    <w:semiHidden/>
    <w:rsid w:val="00BF594A"/>
    <w:pPr>
      <w:spacing w:before="240" w:after="240" w:line="240" w:lineRule="auto"/>
    </w:pPr>
    <w:rPr>
      <w:rFonts w:ascii="Arial" w:eastAsia="Times New Roman" w:hAnsi="Arial" w:cs="Times New Roman"/>
      <w:spacing w:val="-2"/>
      <w:sz w:val="20"/>
      <w:szCs w:val="20"/>
    </w:rPr>
  </w:style>
  <w:style w:type="character" w:customStyle="1" w:styleId="CommentTextChar">
    <w:name w:val="Comment Text Char"/>
    <w:basedOn w:val="DefaultParagraphFont"/>
    <w:link w:val="CommentText"/>
    <w:uiPriority w:val="99"/>
    <w:semiHidden/>
    <w:rsid w:val="00BF594A"/>
    <w:rPr>
      <w:rFonts w:ascii="Arial" w:eastAsia="Times New Roman" w:hAnsi="Arial" w:cs="Times New Roman"/>
      <w:spacing w:val="-2"/>
      <w:sz w:val="20"/>
      <w:szCs w:val="20"/>
    </w:rPr>
  </w:style>
  <w:style w:type="paragraph" w:styleId="CommentSubject">
    <w:name w:val="annotation subject"/>
    <w:basedOn w:val="CommentText"/>
    <w:next w:val="CommentText"/>
    <w:link w:val="CommentSubjectChar"/>
    <w:uiPriority w:val="99"/>
    <w:semiHidden/>
    <w:unhideWhenUsed/>
    <w:rsid w:val="00BF594A"/>
    <w:pPr>
      <w:spacing w:before="0" w:after="200"/>
    </w:pPr>
    <w:rPr>
      <w:rFonts w:asciiTheme="minorHAnsi" w:eastAsiaTheme="minorHAnsi" w:hAnsiTheme="minorHAnsi" w:cstheme="minorBidi"/>
      <w:b/>
      <w:bCs/>
      <w:spacing w:val="0"/>
    </w:rPr>
  </w:style>
  <w:style w:type="character" w:customStyle="1" w:styleId="CommentSubjectChar">
    <w:name w:val="Comment Subject Char"/>
    <w:basedOn w:val="CommentTextChar"/>
    <w:link w:val="CommentSubject"/>
    <w:uiPriority w:val="99"/>
    <w:semiHidden/>
    <w:rsid w:val="00BF594A"/>
    <w:rPr>
      <w:rFonts w:ascii="Arial" w:eastAsia="Times New Roman" w:hAnsi="Arial" w:cs="Times New Roman"/>
      <w:b/>
      <w:bCs/>
      <w:spacing w:val="-2"/>
      <w:sz w:val="20"/>
      <w:szCs w:val="20"/>
    </w:rPr>
  </w:style>
  <w:style w:type="paragraph" w:styleId="Revision">
    <w:name w:val="Revision"/>
    <w:hidden/>
    <w:uiPriority w:val="99"/>
    <w:semiHidden/>
    <w:rsid w:val="00BF594A"/>
    <w:pPr>
      <w:spacing w:after="0" w:line="240" w:lineRule="auto"/>
    </w:pPr>
  </w:style>
  <w:style w:type="paragraph" w:styleId="BodyText">
    <w:name w:val="Body Text"/>
    <w:basedOn w:val="Normal"/>
    <w:link w:val="BodyTextChar"/>
    <w:uiPriority w:val="99"/>
    <w:semiHidden/>
    <w:unhideWhenUsed/>
    <w:rsid w:val="00BF594A"/>
    <w:pPr>
      <w:spacing w:after="120"/>
    </w:pPr>
  </w:style>
  <w:style w:type="character" w:customStyle="1" w:styleId="BodyTextChar">
    <w:name w:val="Body Text Char"/>
    <w:basedOn w:val="DefaultParagraphFont"/>
    <w:link w:val="BodyText"/>
    <w:uiPriority w:val="99"/>
    <w:semiHidden/>
    <w:rsid w:val="00BF594A"/>
    <w:rPr>
      <w:rFonts w:eastAsiaTheme="minorEastAsia"/>
    </w:rPr>
  </w:style>
  <w:style w:type="paragraph" w:styleId="EndnoteText">
    <w:name w:val="endnote text"/>
    <w:basedOn w:val="Normal"/>
    <w:link w:val="EndnoteTextChar"/>
    <w:uiPriority w:val="99"/>
    <w:semiHidden/>
    <w:unhideWhenUsed/>
    <w:rsid w:val="00BF594A"/>
    <w:pPr>
      <w:spacing w:after="0" w:line="240" w:lineRule="auto"/>
    </w:pPr>
    <w:rPr>
      <w:sz w:val="20"/>
      <w:szCs w:val="20"/>
    </w:rPr>
  </w:style>
  <w:style w:type="character" w:customStyle="1" w:styleId="EndnoteTextChar">
    <w:name w:val="Endnote Text Char"/>
    <w:basedOn w:val="DefaultParagraphFont"/>
    <w:link w:val="EndnoteText"/>
    <w:uiPriority w:val="99"/>
    <w:semiHidden/>
    <w:rsid w:val="00BF594A"/>
    <w:rPr>
      <w:rFonts w:eastAsiaTheme="minorEastAsia"/>
      <w:sz w:val="20"/>
      <w:szCs w:val="20"/>
    </w:rPr>
  </w:style>
  <w:style w:type="character" w:styleId="EndnoteReference">
    <w:name w:val="endnote reference"/>
    <w:basedOn w:val="DefaultParagraphFont"/>
    <w:uiPriority w:val="99"/>
    <w:semiHidden/>
    <w:unhideWhenUsed/>
    <w:rsid w:val="00BF594A"/>
    <w:rPr>
      <w:vertAlign w:val="superscript"/>
    </w:rPr>
  </w:style>
  <w:style w:type="paragraph" w:styleId="PlainText">
    <w:name w:val="Plain Text"/>
    <w:basedOn w:val="Normal"/>
    <w:link w:val="PlainTextChar"/>
    <w:uiPriority w:val="99"/>
    <w:semiHidden/>
    <w:unhideWhenUsed/>
    <w:rsid w:val="00BF594A"/>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BF594A"/>
    <w:rPr>
      <w:rFonts w:ascii="Consolas" w:eastAsiaTheme="minorEastAsia" w:hAnsi="Consolas" w:cs="Consolas"/>
      <w:sz w:val="21"/>
      <w:szCs w:val="21"/>
    </w:rPr>
  </w:style>
  <w:style w:type="paragraph" w:styleId="ListParagraph">
    <w:name w:val="List Paragraph"/>
    <w:basedOn w:val="Normal"/>
    <w:uiPriority w:val="34"/>
    <w:qFormat/>
    <w:rsid w:val="00C72B6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793464">
      <w:bodyDiv w:val="1"/>
      <w:marLeft w:val="0"/>
      <w:marRight w:val="0"/>
      <w:marTop w:val="0"/>
      <w:marBottom w:val="0"/>
      <w:divBdr>
        <w:top w:val="none" w:sz="0" w:space="0" w:color="auto"/>
        <w:left w:val="none" w:sz="0" w:space="0" w:color="auto"/>
        <w:bottom w:val="none" w:sz="0" w:space="0" w:color="auto"/>
        <w:right w:val="none" w:sz="0" w:space="0" w:color="auto"/>
      </w:divBdr>
    </w:div>
    <w:div w:id="81266228">
      <w:bodyDiv w:val="1"/>
      <w:marLeft w:val="0"/>
      <w:marRight w:val="0"/>
      <w:marTop w:val="0"/>
      <w:marBottom w:val="0"/>
      <w:divBdr>
        <w:top w:val="none" w:sz="0" w:space="0" w:color="auto"/>
        <w:left w:val="none" w:sz="0" w:space="0" w:color="auto"/>
        <w:bottom w:val="none" w:sz="0" w:space="0" w:color="auto"/>
        <w:right w:val="none" w:sz="0" w:space="0" w:color="auto"/>
      </w:divBdr>
    </w:div>
    <w:div w:id="97524550">
      <w:bodyDiv w:val="1"/>
      <w:marLeft w:val="0"/>
      <w:marRight w:val="0"/>
      <w:marTop w:val="0"/>
      <w:marBottom w:val="0"/>
      <w:divBdr>
        <w:top w:val="none" w:sz="0" w:space="0" w:color="auto"/>
        <w:left w:val="none" w:sz="0" w:space="0" w:color="auto"/>
        <w:bottom w:val="none" w:sz="0" w:space="0" w:color="auto"/>
        <w:right w:val="none" w:sz="0" w:space="0" w:color="auto"/>
      </w:divBdr>
    </w:div>
    <w:div w:id="123623699">
      <w:bodyDiv w:val="1"/>
      <w:marLeft w:val="0"/>
      <w:marRight w:val="0"/>
      <w:marTop w:val="0"/>
      <w:marBottom w:val="0"/>
      <w:divBdr>
        <w:top w:val="none" w:sz="0" w:space="0" w:color="auto"/>
        <w:left w:val="none" w:sz="0" w:space="0" w:color="auto"/>
        <w:bottom w:val="none" w:sz="0" w:space="0" w:color="auto"/>
        <w:right w:val="none" w:sz="0" w:space="0" w:color="auto"/>
      </w:divBdr>
    </w:div>
    <w:div w:id="141239126">
      <w:bodyDiv w:val="1"/>
      <w:marLeft w:val="0"/>
      <w:marRight w:val="0"/>
      <w:marTop w:val="0"/>
      <w:marBottom w:val="0"/>
      <w:divBdr>
        <w:top w:val="none" w:sz="0" w:space="0" w:color="auto"/>
        <w:left w:val="none" w:sz="0" w:space="0" w:color="auto"/>
        <w:bottom w:val="none" w:sz="0" w:space="0" w:color="auto"/>
        <w:right w:val="none" w:sz="0" w:space="0" w:color="auto"/>
      </w:divBdr>
    </w:div>
    <w:div w:id="188177376">
      <w:bodyDiv w:val="1"/>
      <w:marLeft w:val="0"/>
      <w:marRight w:val="0"/>
      <w:marTop w:val="0"/>
      <w:marBottom w:val="0"/>
      <w:divBdr>
        <w:top w:val="none" w:sz="0" w:space="0" w:color="auto"/>
        <w:left w:val="none" w:sz="0" w:space="0" w:color="auto"/>
        <w:bottom w:val="none" w:sz="0" w:space="0" w:color="auto"/>
        <w:right w:val="none" w:sz="0" w:space="0" w:color="auto"/>
      </w:divBdr>
    </w:div>
    <w:div w:id="231934791">
      <w:bodyDiv w:val="1"/>
      <w:marLeft w:val="0"/>
      <w:marRight w:val="0"/>
      <w:marTop w:val="0"/>
      <w:marBottom w:val="0"/>
      <w:divBdr>
        <w:top w:val="none" w:sz="0" w:space="0" w:color="auto"/>
        <w:left w:val="none" w:sz="0" w:space="0" w:color="auto"/>
        <w:bottom w:val="none" w:sz="0" w:space="0" w:color="auto"/>
        <w:right w:val="none" w:sz="0" w:space="0" w:color="auto"/>
      </w:divBdr>
    </w:div>
    <w:div w:id="234440646">
      <w:bodyDiv w:val="1"/>
      <w:marLeft w:val="0"/>
      <w:marRight w:val="0"/>
      <w:marTop w:val="0"/>
      <w:marBottom w:val="0"/>
      <w:divBdr>
        <w:top w:val="none" w:sz="0" w:space="0" w:color="auto"/>
        <w:left w:val="none" w:sz="0" w:space="0" w:color="auto"/>
        <w:bottom w:val="none" w:sz="0" w:space="0" w:color="auto"/>
        <w:right w:val="none" w:sz="0" w:space="0" w:color="auto"/>
      </w:divBdr>
    </w:div>
    <w:div w:id="284386676">
      <w:bodyDiv w:val="1"/>
      <w:marLeft w:val="0"/>
      <w:marRight w:val="0"/>
      <w:marTop w:val="0"/>
      <w:marBottom w:val="0"/>
      <w:divBdr>
        <w:top w:val="none" w:sz="0" w:space="0" w:color="auto"/>
        <w:left w:val="none" w:sz="0" w:space="0" w:color="auto"/>
        <w:bottom w:val="none" w:sz="0" w:space="0" w:color="auto"/>
        <w:right w:val="none" w:sz="0" w:space="0" w:color="auto"/>
      </w:divBdr>
    </w:div>
    <w:div w:id="305355849">
      <w:bodyDiv w:val="1"/>
      <w:marLeft w:val="0"/>
      <w:marRight w:val="0"/>
      <w:marTop w:val="0"/>
      <w:marBottom w:val="0"/>
      <w:divBdr>
        <w:top w:val="none" w:sz="0" w:space="0" w:color="auto"/>
        <w:left w:val="none" w:sz="0" w:space="0" w:color="auto"/>
        <w:bottom w:val="none" w:sz="0" w:space="0" w:color="auto"/>
        <w:right w:val="none" w:sz="0" w:space="0" w:color="auto"/>
      </w:divBdr>
    </w:div>
    <w:div w:id="339965389">
      <w:bodyDiv w:val="1"/>
      <w:marLeft w:val="0"/>
      <w:marRight w:val="0"/>
      <w:marTop w:val="0"/>
      <w:marBottom w:val="0"/>
      <w:divBdr>
        <w:top w:val="none" w:sz="0" w:space="0" w:color="auto"/>
        <w:left w:val="none" w:sz="0" w:space="0" w:color="auto"/>
        <w:bottom w:val="none" w:sz="0" w:space="0" w:color="auto"/>
        <w:right w:val="none" w:sz="0" w:space="0" w:color="auto"/>
      </w:divBdr>
    </w:div>
    <w:div w:id="397826562">
      <w:bodyDiv w:val="1"/>
      <w:marLeft w:val="0"/>
      <w:marRight w:val="0"/>
      <w:marTop w:val="0"/>
      <w:marBottom w:val="0"/>
      <w:divBdr>
        <w:top w:val="none" w:sz="0" w:space="0" w:color="auto"/>
        <w:left w:val="none" w:sz="0" w:space="0" w:color="auto"/>
        <w:bottom w:val="none" w:sz="0" w:space="0" w:color="auto"/>
        <w:right w:val="none" w:sz="0" w:space="0" w:color="auto"/>
      </w:divBdr>
    </w:div>
    <w:div w:id="448361375">
      <w:bodyDiv w:val="1"/>
      <w:marLeft w:val="0"/>
      <w:marRight w:val="0"/>
      <w:marTop w:val="0"/>
      <w:marBottom w:val="0"/>
      <w:divBdr>
        <w:top w:val="none" w:sz="0" w:space="0" w:color="auto"/>
        <w:left w:val="none" w:sz="0" w:space="0" w:color="auto"/>
        <w:bottom w:val="none" w:sz="0" w:space="0" w:color="auto"/>
        <w:right w:val="none" w:sz="0" w:space="0" w:color="auto"/>
      </w:divBdr>
    </w:div>
    <w:div w:id="456727034">
      <w:bodyDiv w:val="1"/>
      <w:marLeft w:val="0"/>
      <w:marRight w:val="0"/>
      <w:marTop w:val="0"/>
      <w:marBottom w:val="0"/>
      <w:divBdr>
        <w:top w:val="none" w:sz="0" w:space="0" w:color="auto"/>
        <w:left w:val="none" w:sz="0" w:space="0" w:color="auto"/>
        <w:bottom w:val="none" w:sz="0" w:space="0" w:color="auto"/>
        <w:right w:val="none" w:sz="0" w:space="0" w:color="auto"/>
      </w:divBdr>
    </w:div>
    <w:div w:id="501237209">
      <w:bodyDiv w:val="1"/>
      <w:marLeft w:val="0"/>
      <w:marRight w:val="0"/>
      <w:marTop w:val="0"/>
      <w:marBottom w:val="0"/>
      <w:divBdr>
        <w:top w:val="none" w:sz="0" w:space="0" w:color="auto"/>
        <w:left w:val="none" w:sz="0" w:space="0" w:color="auto"/>
        <w:bottom w:val="none" w:sz="0" w:space="0" w:color="auto"/>
        <w:right w:val="none" w:sz="0" w:space="0" w:color="auto"/>
      </w:divBdr>
    </w:div>
    <w:div w:id="516389967">
      <w:bodyDiv w:val="1"/>
      <w:marLeft w:val="0"/>
      <w:marRight w:val="0"/>
      <w:marTop w:val="0"/>
      <w:marBottom w:val="0"/>
      <w:divBdr>
        <w:top w:val="none" w:sz="0" w:space="0" w:color="auto"/>
        <w:left w:val="none" w:sz="0" w:space="0" w:color="auto"/>
        <w:bottom w:val="none" w:sz="0" w:space="0" w:color="auto"/>
        <w:right w:val="none" w:sz="0" w:space="0" w:color="auto"/>
      </w:divBdr>
    </w:div>
    <w:div w:id="548498519">
      <w:bodyDiv w:val="1"/>
      <w:marLeft w:val="0"/>
      <w:marRight w:val="0"/>
      <w:marTop w:val="0"/>
      <w:marBottom w:val="0"/>
      <w:divBdr>
        <w:top w:val="none" w:sz="0" w:space="0" w:color="auto"/>
        <w:left w:val="none" w:sz="0" w:space="0" w:color="auto"/>
        <w:bottom w:val="none" w:sz="0" w:space="0" w:color="auto"/>
        <w:right w:val="none" w:sz="0" w:space="0" w:color="auto"/>
      </w:divBdr>
    </w:div>
    <w:div w:id="578028595">
      <w:bodyDiv w:val="1"/>
      <w:marLeft w:val="0"/>
      <w:marRight w:val="0"/>
      <w:marTop w:val="0"/>
      <w:marBottom w:val="0"/>
      <w:divBdr>
        <w:top w:val="none" w:sz="0" w:space="0" w:color="auto"/>
        <w:left w:val="none" w:sz="0" w:space="0" w:color="auto"/>
        <w:bottom w:val="none" w:sz="0" w:space="0" w:color="auto"/>
        <w:right w:val="none" w:sz="0" w:space="0" w:color="auto"/>
      </w:divBdr>
    </w:div>
    <w:div w:id="611320701">
      <w:bodyDiv w:val="1"/>
      <w:marLeft w:val="0"/>
      <w:marRight w:val="0"/>
      <w:marTop w:val="0"/>
      <w:marBottom w:val="0"/>
      <w:divBdr>
        <w:top w:val="none" w:sz="0" w:space="0" w:color="auto"/>
        <w:left w:val="none" w:sz="0" w:space="0" w:color="auto"/>
        <w:bottom w:val="none" w:sz="0" w:space="0" w:color="auto"/>
        <w:right w:val="none" w:sz="0" w:space="0" w:color="auto"/>
      </w:divBdr>
    </w:div>
    <w:div w:id="822280234">
      <w:bodyDiv w:val="1"/>
      <w:marLeft w:val="0"/>
      <w:marRight w:val="0"/>
      <w:marTop w:val="0"/>
      <w:marBottom w:val="0"/>
      <w:divBdr>
        <w:top w:val="none" w:sz="0" w:space="0" w:color="auto"/>
        <w:left w:val="none" w:sz="0" w:space="0" w:color="auto"/>
        <w:bottom w:val="none" w:sz="0" w:space="0" w:color="auto"/>
        <w:right w:val="none" w:sz="0" w:space="0" w:color="auto"/>
      </w:divBdr>
    </w:div>
    <w:div w:id="860632975">
      <w:bodyDiv w:val="1"/>
      <w:marLeft w:val="0"/>
      <w:marRight w:val="0"/>
      <w:marTop w:val="0"/>
      <w:marBottom w:val="0"/>
      <w:divBdr>
        <w:top w:val="none" w:sz="0" w:space="0" w:color="auto"/>
        <w:left w:val="none" w:sz="0" w:space="0" w:color="auto"/>
        <w:bottom w:val="none" w:sz="0" w:space="0" w:color="auto"/>
        <w:right w:val="none" w:sz="0" w:space="0" w:color="auto"/>
      </w:divBdr>
    </w:div>
    <w:div w:id="896474699">
      <w:bodyDiv w:val="1"/>
      <w:marLeft w:val="0"/>
      <w:marRight w:val="0"/>
      <w:marTop w:val="0"/>
      <w:marBottom w:val="0"/>
      <w:divBdr>
        <w:top w:val="none" w:sz="0" w:space="0" w:color="auto"/>
        <w:left w:val="none" w:sz="0" w:space="0" w:color="auto"/>
        <w:bottom w:val="none" w:sz="0" w:space="0" w:color="auto"/>
        <w:right w:val="none" w:sz="0" w:space="0" w:color="auto"/>
      </w:divBdr>
    </w:div>
    <w:div w:id="942418092">
      <w:bodyDiv w:val="1"/>
      <w:marLeft w:val="0"/>
      <w:marRight w:val="0"/>
      <w:marTop w:val="0"/>
      <w:marBottom w:val="0"/>
      <w:divBdr>
        <w:top w:val="none" w:sz="0" w:space="0" w:color="auto"/>
        <w:left w:val="none" w:sz="0" w:space="0" w:color="auto"/>
        <w:bottom w:val="none" w:sz="0" w:space="0" w:color="auto"/>
        <w:right w:val="none" w:sz="0" w:space="0" w:color="auto"/>
      </w:divBdr>
    </w:div>
    <w:div w:id="984433075">
      <w:bodyDiv w:val="1"/>
      <w:marLeft w:val="0"/>
      <w:marRight w:val="0"/>
      <w:marTop w:val="0"/>
      <w:marBottom w:val="0"/>
      <w:divBdr>
        <w:top w:val="none" w:sz="0" w:space="0" w:color="auto"/>
        <w:left w:val="none" w:sz="0" w:space="0" w:color="auto"/>
        <w:bottom w:val="none" w:sz="0" w:space="0" w:color="auto"/>
        <w:right w:val="none" w:sz="0" w:space="0" w:color="auto"/>
      </w:divBdr>
    </w:div>
    <w:div w:id="1071393330">
      <w:bodyDiv w:val="1"/>
      <w:marLeft w:val="0"/>
      <w:marRight w:val="0"/>
      <w:marTop w:val="0"/>
      <w:marBottom w:val="0"/>
      <w:divBdr>
        <w:top w:val="none" w:sz="0" w:space="0" w:color="auto"/>
        <w:left w:val="none" w:sz="0" w:space="0" w:color="auto"/>
        <w:bottom w:val="none" w:sz="0" w:space="0" w:color="auto"/>
        <w:right w:val="none" w:sz="0" w:space="0" w:color="auto"/>
      </w:divBdr>
    </w:div>
    <w:div w:id="1189635468">
      <w:bodyDiv w:val="1"/>
      <w:marLeft w:val="0"/>
      <w:marRight w:val="0"/>
      <w:marTop w:val="0"/>
      <w:marBottom w:val="0"/>
      <w:divBdr>
        <w:top w:val="none" w:sz="0" w:space="0" w:color="auto"/>
        <w:left w:val="none" w:sz="0" w:space="0" w:color="auto"/>
        <w:bottom w:val="none" w:sz="0" w:space="0" w:color="auto"/>
        <w:right w:val="none" w:sz="0" w:space="0" w:color="auto"/>
      </w:divBdr>
    </w:div>
    <w:div w:id="1236546380">
      <w:bodyDiv w:val="1"/>
      <w:marLeft w:val="0"/>
      <w:marRight w:val="0"/>
      <w:marTop w:val="0"/>
      <w:marBottom w:val="0"/>
      <w:divBdr>
        <w:top w:val="none" w:sz="0" w:space="0" w:color="auto"/>
        <w:left w:val="none" w:sz="0" w:space="0" w:color="auto"/>
        <w:bottom w:val="none" w:sz="0" w:space="0" w:color="auto"/>
        <w:right w:val="none" w:sz="0" w:space="0" w:color="auto"/>
      </w:divBdr>
    </w:div>
    <w:div w:id="1238595607">
      <w:bodyDiv w:val="1"/>
      <w:marLeft w:val="0"/>
      <w:marRight w:val="0"/>
      <w:marTop w:val="0"/>
      <w:marBottom w:val="0"/>
      <w:divBdr>
        <w:top w:val="none" w:sz="0" w:space="0" w:color="auto"/>
        <w:left w:val="none" w:sz="0" w:space="0" w:color="auto"/>
        <w:bottom w:val="none" w:sz="0" w:space="0" w:color="auto"/>
        <w:right w:val="none" w:sz="0" w:space="0" w:color="auto"/>
      </w:divBdr>
    </w:div>
    <w:div w:id="1274289948">
      <w:bodyDiv w:val="1"/>
      <w:marLeft w:val="0"/>
      <w:marRight w:val="0"/>
      <w:marTop w:val="0"/>
      <w:marBottom w:val="0"/>
      <w:divBdr>
        <w:top w:val="none" w:sz="0" w:space="0" w:color="auto"/>
        <w:left w:val="none" w:sz="0" w:space="0" w:color="auto"/>
        <w:bottom w:val="none" w:sz="0" w:space="0" w:color="auto"/>
        <w:right w:val="none" w:sz="0" w:space="0" w:color="auto"/>
      </w:divBdr>
    </w:div>
    <w:div w:id="1287739099">
      <w:bodyDiv w:val="1"/>
      <w:marLeft w:val="0"/>
      <w:marRight w:val="0"/>
      <w:marTop w:val="0"/>
      <w:marBottom w:val="0"/>
      <w:divBdr>
        <w:top w:val="none" w:sz="0" w:space="0" w:color="auto"/>
        <w:left w:val="none" w:sz="0" w:space="0" w:color="auto"/>
        <w:bottom w:val="none" w:sz="0" w:space="0" w:color="auto"/>
        <w:right w:val="none" w:sz="0" w:space="0" w:color="auto"/>
      </w:divBdr>
    </w:div>
    <w:div w:id="1336031561">
      <w:bodyDiv w:val="1"/>
      <w:marLeft w:val="0"/>
      <w:marRight w:val="0"/>
      <w:marTop w:val="0"/>
      <w:marBottom w:val="0"/>
      <w:divBdr>
        <w:top w:val="none" w:sz="0" w:space="0" w:color="auto"/>
        <w:left w:val="none" w:sz="0" w:space="0" w:color="auto"/>
        <w:bottom w:val="none" w:sz="0" w:space="0" w:color="auto"/>
        <w:right w:val="none" w:sz="0" w:space="0" w:color="auto"/>
      </w:divBdr>
    </w:div>
    <w:div w:id="1365716240">
      <w:bodyDiv w:val="1"/>
      <w:marLeft w:val="0"/>
      <w:marRight w:val="0"/>
      <w:marTop w:val="0"/>
      <w:marBottom w:val="0"/>
      <w:divBdr>
        <w:top w:val="none" w:sz="0" w:space="0" w:color="auto"/>
        <w:left w:val="none" w:sz="0" w:space="0" w:color="auto"/>
        <w:bottom w:val="none" w:sz="0" w:space="0" w:color="auto"/>
        <w:right w:val="none" w:sz="0" w:space="0" w:color="auto"/>
      </w:divBdr>
    </w:div>
    <w:div w:id="1440177806">
      <w:bodyDiv w:val="1"/>
      <w:marLeft w:val="0"/>
      <w:marRight w:val="0"/>
      <w:marTop w:val="0"/>
      <w:marBottom w:val="0"/>
      <w:divBdr>
        <w:top w:val="none" w:sz="0" w:space="0" w:color="auto"/>
        <w:left w:val="none" w:sz="0" w:space="0" w:color="auto"/>
        <w:bottom w:val="none" w:sz="0" w:space="0" w:color="auto"/>
        <w:right w:val="none" w:sz="0" w:space="0" w:color="auto"/>
      </w:divBdr>
      <w:divsChild>
        <w:div w:id="289626090">
          <w:marLeft w:val="0"/>
          <w:marRight w:val="0"/>
          <w:marTop w:val="0"/>
          <w:marBottom w:val="0"/>
          <w:divBdr>
            <w:top w:val="none" w:sz="0" w:space="0" w:color="auto"/>
            <w:left w:val="none" w:sz="0" w:space="0" w:color="auto"/>
            <w:bottom w:val="none" w:sz="0" w:space="0" w:color="auto"/>
            <w:right w:val="none" w:sz="0" w:space="0" w:color="auto"/>
          </w:divBdr>
          <w:divsChild>
            <w:div w:id="1937900054">
              <w:marLeft w:val="0"/>
              <w:marRight w:val="0"/>
              <w:marTop w:val="112"/>
              <w:marBottom w:val="0"/>
              <w:divBdr>
                <w:top w:val="single" w:sz="8" w:space="6" w:color="666666"/>
                <w:left w:val="none" w:sz="0" w:space="0" w:color="auto"/>
                <w:bottom w:val="none" w:sz="0" w:space="0" w:color="auto"/>
                <w:right w:val="none" w:sz="0" w:space="0" w:color="auto"/>
              </w:divBdr>
            </w:div>
          </w:divsChild>
        </w:div>
      </w:divsChild>
    </w:div>
    <w:div w:id="1446123251">
      <w:bodyDiv w:val="1"/>
      <w:marLeft w:val="0"/>
      <w:marRight w:val="0"/>
      <w:marTop w:val="0"/>
      <w:marBottom w:val="0"/>
      <w:divBdr>
        <w:top w:val="none" w:sz="0" w:space="0" w:color="auto"/>
        <w:left w:val="none" w:sz="0" w:space="0" w:color="auto"/>
        <w:bottom w:val="none" w:sz="0" w:space="0" w:color="auto"/>
        <w:right w:val="none" w:sz="0" w:space="0" w:color="auto"/>
      </w:divBdr>
    </w:div>
    <w:div w:id="1520270266">
      <w:bodyDiv w:val="1"/>
      <w:marLeft w:val="0"/>
      <w:marRight w:val="0"/>
      <w:marTop w:val="0"/>
      <w:marBottom w:val="0"/>
      <w:divBdr>
        <w:top w:val="none" w:sz="0" w:space="0" w:color="auto"/>
        <w:left w:val="none" w:sz="0" w:space="0" w:color="auto"/>
        <w:bottom w:val="none" w:sz="0" w:space="0" w:color="auto"/>
        <w:right w:val="none" w:sz="0" w:space="0" w:color="auto"/>
      </w:divBdr>
    </w:div>
    <w:div w:id="1525050504">
      <w:bodyDiv w:val="1"/>
      <w:marLeft w:val="0"/>
      <w:marRight w:val="0"/>
      <w:marTop w:val="0"/>
      <w:marBottom w:val="0"/>
      <w:divBdr>
        <w:top w:val="none" w:sz="0" w:space="0" w:color="auto"/>
        <w:left w:val="none" w:sz="0" w:space="0" w:color="auto"/>
        <w:bottom w:val="none" w:sz="0" w:space="0" w:color="auto"/>
        <w:right w:val="none" w:sz="0" w:space="0" w:color="auto"/>
      </w:divBdr>
    </w:div>
    <w:div w:id="1547790718">
      <w:bodyDiv w:val="1"/>
      <w:marLeft w:val="0"/>
      <w:marRight w:val="0"/>
      <w:marTop w:val="0"/>
      <w:marBottom w:val="0"/>
      <w:divBdr>
        <w:top w:val="none" w:sz="0" w:space="0" w:color="auto"/>
        <w:left w:val="none" w:sz="0" w:space="0" w:color="auto"/>
        <w:bottom w:val="none" w:sz="0" w:space="0" w:color="auto"/>
        <w:right w:val="none" w:sz="0" w:space="0" w:color="auto"/>
      </w:divBdr>
    </w:div>
    <w:div w:id="1606428096">
      <w:bodyDiv w:val="1"/>
      <w:marLeft w:val="0"/>
      <w:marRight w:val="0"/>
      <w:marTop w:val="0"/>
      <w:marBottom w:val="0"/>
      <w:divBdr>
        <w:top w:val="none" w:sz="0" w:space="0" w:color="auto"/>
        <w:left w:val="none" w:sz="0" w:space="0" w:color="auto"/>
        <w:bottom w:val="none" w:sz="0" w:space="0" w:color="auto"/>
        <w:right w:val="none" w:sz="0" w:space="0" w:color="auto"/>
      </w:divBdr>
    </w:div>
    <w:div w:id="1642541589">
      <w:bodyDiv w:val="1"/>
      <w:marLeft w:val="0"/>
      <w:marRight w:val="0"/>
      <w:marTop w:val="0"/>
      <w:marBottom w:val="0"/>
      <w:divBdr>
        <w:top w:val="none" w:sz="0" w:space="0" w:color="auto"/>
        <w:left w:val="none" w:sz="0" w:space="0" w:color="auto"/>
        <w:bottom w:val="none" w:sz="0" w:space="0" w:color="auto"/>
        <w:right w:val="none" w:sz="0" w:space="0" w:color="auto"/>
      </w:divBdr>
    </w:div>
    <w:div w:id="1646202069">
      <w:bodyDiv w:val="1"/>
      <w:marLeft w:val="0"/>
      <w:marRight w:val="0"/>
      <w:marTop w:val="0"/>
      <w:marBottom w:val="0"/>
      <w:divBdr>
        <w:top w:val="none" w:sz="0" w:space="0" w:color="auto"/>
        <w:left w:val="none" w:sz="0" w:space="0" w:color="auto"/>
        <w:bottom w:val="none" w:sz="0" w:space="0" w:color="auto"/>
        <w:right w:val="none" w:sz="0" w:space="0" w:color="auto"/>
      </w:divBdr>
    </w:div>
    <w:div w:id="1673410048">
      <w:bodyDiv w:val="1"/>
      <w:marLeft w:val="0"/>
      <w:marRight w:val="0"/>
      <w:marTop w:val="0"/>
      <w:marBottom w:val="0"/>
      <w:divBdr>
        <w:top w:val="none" w:sz="0" w:space="0" w:color="auto"/>
        <w:left w:val="none" w:sz="0" w:space="0" w:color="auto"/>
        <w:bottom w:val="none" w:sz="0" w:space="0" w:color="auto"/>
        <w:right w:val="none" w:sz="0" w:space="0" w:color="auto"/>
      </w:divBdr>
    </w:div>
    <w:div w:id="1836067828">
      <w:bodyDiv w:val="1"/>
      <w:marLeft w:val="0"/>
      <w:marRight w:val="0"/>
      <w:marTop w:val="0"/>
      <w:marBottom w:val="0"/>
      <w:divBdr>
        <w:top w:val="none" w:sz="0" w:space="0" w:color="auto"/>
        <w:left w:val="none" w:sz="0" w:space="0" w:color="auto"/>
        <w:bottom w:val="none" w:sz="0" w:space="0" w:color="auto"/>
        <w:right w:val="none" w:sz="0" w:space="0" w:color="auto"/>
      </w:divBdr>
    </w:div>
    <w:div w:id="1978682605">
      <w:bodyDiv w:val="1"/>
      <w:marLeft w:val="0"/>
      <w:marRight w:val="0"/>
      <w:marTop w:val="0"/>
      <w:marBottom w:val="0"/>
      <w:divBdr>
        <w:top w:val="none" w:sz="0" w:space="0" w:color="auto"/>
        <w:left w:val="none" w:sz="0" w:space="0" w:color="auto"/>
        <w:bottom w:val="none" w:sz="0" w:space="0" w:color="auto"/>
        <w:right w:val="none" w:sz="0" w:space="0" w:color="auto"/>
      </w:divBdr>
    </w:div>
    <w:div w:id="1980189912">
      <w:bodyDiv w:val="1"/>
      <w:marLeft w:val="0"/>
      <w:marRight w:val="0"/>
      <w:marTop w:val="0"/>
      <w:marBottom w:val="0"/>
      <w:divBdr>
        <w:top w:val="none" w:sz="0" w:space="0" w:color="auto"/>
        <w:left w:val="none" w:sz="0" w:space="0" w:color="auto"/>
        <w:bottom w:val="none" w:sz="0" w:space="0" w:color="auto"/>
        <w:right w:val="none" w:sz="0" w:space="0" w:color="auto"/>
      </w:divBdr>
    </w:div>
    <w:div w:id="2144156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footer" Target="footer7.xml"/><Relationship Id="rId39"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header" Target="header7.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footer" Target="footer6.xml"/><Relationship Id="rId33" Type="http://schemas.openxmlformats.org/officeDocument/2006/relationships/image" Target="media/image14.png"/><Relationship Id="rId38"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oleObject" Target="embeddings/oleObject1.bin"/><Relationship Id="rId29" Type="http://schemas.openxmlformats.org/officeDocument/2006/relationships/image" Target="media/image12.png"/><Relationship Id="rId41" Type="http://schemas.openxmlformats.org/officeDocument/2006/relationships/footer" Target="footer1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6.xml"/><Relationship Id="rId32" Type="http://schemas.openxmlformats.org/officeDocument/2006/relationships/image" Target="media/image13.png"/><Relationship Id="rId37" Type="http://schemas.openxmlformats.org/officeDocument/2006/relationships/image" Target="media/image16.png"/><Relationship Id="rId40" Type="http://schemas.openxmlformats.org/officeDocument/2006/relationships/footer" Target="footer12.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9.png"/><Relationship Id="rId28" Type="http://schemas.openxmlformats.org/officeDocument/2006/relationships/image" Target="media/image11.png"/><Relationship Id="rId36" Type="http://schemas.openxmlformats.org/officeDocument/2006/relationships/footer" Target="footer11.xml"/><Relationship Id="rId10" Type="http://schemas.openxmlformats.org/officeDocument/2006/relationships/header" Target="header2.xml"/><Relationship Id="rId19" Type="http://schemas.openxmlformats.org/officeDocument/2006/relationships/image" Target="media/image6.emf"/><Relationship Id="rId31" Type="http://schemas.openxmlformats.org/officeDocument/2006/relationships/footer" Target="footer9.xml"/><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image" Target="media/image10.png"/><Relationship Id="rId30" Type="http://schemas.openxmlformats.org/officeDocument/2006/relationships/footer" Target="footer8.xml"/><Relationship Id="rId35" Type="http://schemas.openxmlformats.org/officeDocument/2006/relationships/footer" Target="footer10.xml"/><Relationship Id="rId43" Type="http://schemas.openxmlformats.org/officeDocument/2006/relationships/footer" Target="footer14.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10.xml.rels><?xml version="1.0" encoding="UTF-8" standalone="yes"?>
<Relationships xmlns="http://schemas.openxmlformats.org/package/2006/relationships"><Relationship Id="rId1" Type="http://schemas.openxmlformats.org/officeDocument/2006/relationships/image" Target="media/image4.png"/></Relationships>
</file>

<file path=word/_rels/footer11.xml.rels><?xml version="1.0" encoding="UTF-8" standalone="yes"?>
<Relationships xmlns="http://schemas.openxmlformats.org/package/2006/relationships"><Relationship Id="rId1" Type="http://schemas.openxmlformats.org/officeDocument/2006/relationships/image" Target="media/image4.png"/></Relationships>
</file>

<file path=word/_rels/footer12.xml.rels><?xml version="1.0" encoding="UTF-8" standalone="yes"?>
<Relationships xmlns="http://schemas.openxmlformats.org/package/2006/relationships"><Relationship Id="rId1" Type="http://schemas.openxmlformats.org/officeDocument/2006/relationships/image" Target="media/image4.png"/></Relationships>
</file>

<file path=word/_rels/footer13.xml.rels><?xml version="1.0" encoding="UTF-8" standalone="yes"?>
<Relationships xmlns="http://schemas.openxmlformats.org/package/2006/relationships"><Relationship Id="rId1" Type="http://schemas.openxmlformats.org/officeDocument/2006/relationships/image" Target="media/image4.png"/></Relationships>
</file>

<file path=word/_rels/footer14.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4.png"/></Relationships>
</file>

<file path=word/_rels/footer6.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footer8.xml.rels><?xml version="1.0" encoding="UTF-8" standalone="yes"?>
<Relationships xmlns="http://schemas.openxmlformats.org/package/2006/relationships"><Relationship Id="rId1" Type="http://schemas.openxmlformats.org/officeDocument/2006/relationships/image" Target="media/image4.png"/></Relationships>
</file>

<file path=word/_rels/footer9.xml.rels><?xml version="1.0" encoding="UTF-8" standalone="yes"?>
<Relationships xmlns="http://schemas.openxmlformats.org/package/2006/relationships"><Relationship Id="rId1" Type="http://schemas.openxmlformats.org/officeDocument/2006/relationships/image" Target="media/image4.png"/></Relationships>
</file>

<file path=word/_rels/footnotes.xml.rels><?xml version="1.0" encoding="UTF-8" standalone="yes"?>
<Relationships xmlns="http://schemas.openxmlformats.org/package/2006/relationships"><Relationship Id="rId1" Type="http://schemas.openxmlformats.org/officeDocument/2006/relationships/hyperlink" Target="http://www.doe2.com/eques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rohde\Documents\Nexant%20Templates\Repor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12EA8F-B9CF-46F0-9204-C3102251B3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Report.dotx</Template>
  <TotalTime>74</TotalTime>
  <Pages>46</Pages>
  <Words>12655</Words>
  <Characters>72134</Characters>
  <Application>Microsoft Office Word</Application>
  <DocSecurity>0</DocSecurity>
  <Lines>601</Lines>
  <Paragraphs>169</Paragraphs>
  <ScaleCrop>false</ScaleCrop>
  <HeadingPairs>
    <vt:vector size="2" baseType="variant">
      <vt:variant>
        <vt:lpstr>Title</vt:lpstr>
      </vt:variant>
      <vt:variant>
        <vt:i4>1</vt:i4>
      </vt:variant>
    </vt:vector>
  </HeadingPairs>
  <TitlesOfParts>
    <vt:vector size="1" baseType="lpstr">
      <vt:lpstr/>
    </vt:vector>
  </TitlesOfParts>
  <Company>FSC Group</Company>
  <LinksUpToDate>false</LinksUpToDate>
  <CharactersWithSpaces>84620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Rohde, Michael</dc:creator>
  <cp:lastModifiedBy>Josh Schellenberg</cp:lastModifiedBy>
  <cp:revision>19</cp:revision>
  <cp:lastPrinted>2014-03-19T00:06:00Z</cp:lastPrinted>
  <dcterms:created xsi:type="dcterms:W3CDTF">2014-03-18T18:25:00Z</dcterms:created>
  <dcterms:modified xsi:type="dcterms:W3CDTF">2014-03-19T00:23:00Z</dcterms:modified>
</cp:coreProperties>
</file>